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AE8" w:rsidRDefault="00FF3AE8" w:rsidP="00FF3AE8">
      <w:pPr>
        <w:spacing w:before="62"/>
      </w:pPr>
      <w:r>
        <w:t xml:space="preserve">                                                                                           </w:t>
      </w:r>
      <w:r>
        <w:t>Príloha</w:t>
      </w:r>
      <w:r>
        <w:rPr>
          <w:spacing w:val="-4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ORHZ-DS1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2026/001167-</w:t>
      </w:r>
      <w:r>
        <w:rPr>
          <w:spacing w:val="-5"/>
        </w:rPr>
        <w:t>001</w:t>
      </w:r>
    </w:p>
    <w:p w:rsidR="00FF3AE8" w:rsidRDefault="00FF3AE8" w:rsidP="00FF3AE8">
      <w:pPr>
        <w:pStyle w:val="Zkladntext"/>
        <w:spacing w:before="63"/>
        <w:rPr>
          <w:sz w:val="22"/>
        </w:rPr>
      </w:pPr>
      <w:bookmarkStart w:id="0" w:name="_GoBack"/>
    </w:p>
    <w:p w:rsidR="00FF3AE8" w:rsidRDefault="00FF3AE8" w:rsidP="00FF3AE8">
      <w:pPr>
        <w:pStyle w:val="Nadpis1"/>
      </w:pPr>
      <w:r>
        <w:t>Tűzvédelem bebiztosítása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fűtési </w:t>
      </w:r>
      <w:r>
        <w:rPr>
          <w:spacing w:val="-2"/>
        </w:rPr>
        <w:t>időszakban</w:t>
      </w:r>
    </w:p>
    <w:bookmarkEnd w:id="0"/>
    <w:p w:rsidR="00FF3AE8" w:rsidRDefault="00FF3AE8" w:rsidP="00FF3AE8">
      <w:pPr>
        <w:pStyle w:val="Zkladntext"/>
        <w:spacing w:before="84"/>
        <w:rPr>
          <w:b/>
        </w:rPr>
      </w:pPr>
    </w:p>
    <w:p w:rsidR="00FF3AE8" w:rsidRDefault="00FF3AE8" w:rsidP="00FF3AE8">
      <w:pPr>
        <w:pStyle w:val="Zkladntext"/>
        <w:spacing w:line="276" w:lineRule="auto"/>
        <w:ind w:left="1" w:right="137" w:firstLine="720"/>
        <w:jc w:val="both"/>
      </w:pPr>
      <w:r>
        <w:t>A</w:t>
      </w:r>
      <w:r>
        <w:rPr>
          <w:spacing w:val="-2"/>
        </w:rPr>
        <w:t xml:space="preserve"> </w:t>
      </w:r>
      <w:r>
        <w:t>tűzvédelem szempontjából különösen veszélyes időszaknak számít a</w:t>
      </w:r>
      <w:r>
        <w:rPr>
          <w:spacing w:val="-2"/>
        </w:rPr>
        <w:t xml:space="preserve"> </w:t>
      </w:r>
      <w:r>
        <w:t>fűtési időszak. Ebben az időszakban megszaporarodnak a</w:t>
      </w:r>
      <w:r>
        <w:rPr>
          <w:spacing w:val="-1"/>
        </w:rPr>
        <w:t xml:space="preserve"> </w:t>
      </w:r>
      <w:r>
        <w:t>nagy anyagi kárt okozó</w:t>
      </w:r>
      <w:r>
        <w:rPr>
          <w:spacing w:val="40"/>
        </w:rPr>
        <w:t xml:space="preserve"> </w:t>
      </w:r>
      <w:r>
        <w:t>és több esetben sérüléseket, emberi áldozatokat követelő tűzesetek.</w:t>
      </w:r>
    </w:p>
    <w:p w:rsidR="00FF3AE8" w:rsidRDefault="00FF3AE8" w:rsidP="00FF3AE8">
      <w:pPr>
        <w:pStyle w:val="Zkladntext"/>
        <w:spacing w:before="1" w:line="276" w:lineRule="auto"/>
        <w:ind w:left="1" w:right="138" w:firstLine="720"/>
        <w:jc w:val="both"/>
      </w:pPr>
      <w:r>
        <w:t>A</w:t>
      </w:r>
      <w:r>
        <w:rPr>
          <w:spacing w:val="-1"/>
        </w:rPr>
        <w:t xml:space="preserve"> </w:t>
      </w:r>
      <w:r>
        <w:t>fűtési</w:t>
      </w:r>
      <w:r>
        <w:rPr>
          <w:spacing w:val="59"/>
        </w:rPr>
        <w:t xml:space="preserve">  </w:t>
      </w:r>
      <w:r>
        <w:t>berendezések</w:t>
      </w:r>
      <w:r>
        <w:rPr>
          <w:spacing w:val="59"/>
        </w:rPr>
        <w:t xml:space="preserve">  </w:t>
      </w:r>
      <w:r>
        <w:t>nem</w:t>
      </w:r>
      <w:r>
        <w:rPr>
          <w:spacing w:val="59"/>
        </w:rPr>
        <w:t xml:space="preserve">  </w:t>
      </w:r>
      <w:r>
        <w:t>megfelelő</w:t>
      </w:r>
      <w:r>
        <w:rPr>
          <w:spacing w:val="59"/>
        </w:rPr>
        <w:t xml:space="preserve">  </w:t>
      </w:r>
      <w:r>
        <w:t>használatával,</w:t>
      </w:r>
      <w:r>
        <w:rPr>
          <w:spacing w:val="59"/>
        </w:rPr>
        <w:t xml:space="preserve">  </w:t>
      </w:r>
      <w:r>
        <w:t>rossz</w:t>
      </w:r>
      <w:r>
        <w:rPr>
          <w:spacing w:val="59"/>
        </w:rPr>
        <w:t xml:space="preserve">  </w:t>
      </w:r>
      <w:r>
        <w:t>előkészítésével</w:t>
      </w:r>
      <w:r>
        <w:rPr>
          <w:spacing w:val="60"/>
        </w:rPr>
        <w:t xml:space="preserve">  </w:t>
      </w:r>
      <w:r>
        <w:t>és a</w:t>
      </w:r>
      <w:r>
        <w:rPr>
          <w:spacing w:val="-2"/>
        </w:rPr>
        <w:t xml:space="preserve"> </w:t>
      </w:r>
      <w:r>
        <w:t>berendezések ellenőrzésének elhanyagolásával növeljük</w:t>
      </w:r>
      <w:r>
        <w:rPr>
          <w:spacing w:val="4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meghibásodások, tüzek és sokszor a robbanások kialakulásának veszélyét. Leggyakoribb tüzek a</w:t>
      </w:r>
      <w:r>
        <w:rPr>
          <w:spacing w:val="-2"/>
        </w:rPr>
        <w:t xml:space="preserve"> </w:t>
      </w:r>
      <w:r>
        <w:t>fűtési berendezések meghibásodásából</w:t>
      </w:r>
      <w:r>
        <w:rPr>
          <w:spacing w:val="-1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kémények</w:t>
      </w:r>
      <w:r>
        <w:rPr>
          <w:spacing w:val="-13"/>
        </w:rPr>
        <w:t xml:space="preserve"> </w:t>
      </w:r>
      <w:r>
        <w:t>és</w:t>
      </w:r>
      <w:r>
        <w:rPr>
          <w:spacing w:val="-8"/>
        </w:rPr>
        <w:t xml:space="preserve"> </w:t>
      </w:r>
      <w:r>
        <w:t>füstelvezető</w:t>
      </w:r>
      <w:r>
        <w:rPr>
          <w:spacing w:val="-11"/>
        </w:rPr>
        <w:t xml:space="preserve"> </w:t>
      </w:r>
      <w:r>
        <w:t>csövek</w:t>
      </w:r>
      <w:r>
        <w:rPr>
          <w:spacing w:val="-11"/>
        </w:rPr>
        <w:t xml:space="preserve"> </w:t>
      </w:r>
      <w:r>
        <w:t>nem</w:t>
      </w:r>
      <w:r>
        <w:rPr>
          <w:spacing w:val="-11"/>
        </w:rPr>
        <w:t xml:space="preserve"> </w:t>
      </w:r>
      <w:r>
        <w:t>megfelelő</w:t>
      </w:r>
      <w:r>
        <w:rPr>
          <w:spacing w:val="-11"/>
        </w:rPr>
        <w:t xml:space="preserve"> </w:t>
      </w:r>
      <w:r>
        <w:t>beszereléséből</w:t>
      </w:r>
      <w:r>
        <w:rPr>
          <w:spacing w:val="-11"/>
        </w:rPr>
        <w:t xml:space="preserve"> </w:t>
      </w:r>
      <w:r>
        <w:t>keletkeznek. A</w:t>
      </w:r>
      <w:r>
        <w:rPr>
          <w:spacing w:val="-2"/>
        </w:rPr>
        <w:t xml:space="preserve"> </w:t>
      </w:r>
      <w:r>
        <w:t>tűzesetek kivizsgálásai során szerzett információk alapján</w:t>
      </w:r>
      <w:r>
        <w:rPr>
          <w:spacing w:val="40"/>
        </w:rPr>
        <w:t xml:space="preserve"> </w:t>
      </w:r>
      <w:r>
        <w:t>ezeket legtöbbször a</w:t>
      </w:r>
      <w:r>
        <w:rPr>
          <w:spacing w:val="-5"/>
        </w:rPr>
        <w:t xml:space="preserve"> </w:t>
      </w:r>
      <w:r>
        <w:t>preventív – tűzmegelőzési előírások megszegése okozza.</w:t>
      </w:r>
    </w:p>
    <w:p w:rsidR="00FF3AE8" w:rsidRDefault="00FF3AE8" w:rsidP="00FF3AE8">
      <w:pPr>
        <w:pStyle w:val="Zkladntext"/>
        <w:spacing w:before="39"/>
      </w:pPr>
    </w:p>
    <w:p w:rsidR="00FF3AE8" w:rsidRDefault="00FF3AE8" w:rsidP="00FF3AE8">
      <w:pPr>
        <w:pStyle w:val="Zkladntext"/>
        <w:ind w:left="61"/>
      </w:pPr>
      <w:r>
        <w:t>A</w:t>
      </w:r>
      <w:r>
        <w:rPr>
          <w:spacing w:val="-1"/>
        </w:rPr>
        <w:t xml:space="preserve"> </w:t>
      </w:r>
      <w:r>
        <w:t>fűtési időszak megkezdésével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következő óvintézkedések</w:t>
      </w:r>
      <w:r>
        <w:rPr>
          <w:spacing w:val="-3"/>
        </w:rPr>
        <w:t xml:space="preserve"> </w:t>
      </w:r>
      <w:r>
        <w:t>betartását</w:t>
      </w:r>
      <w:r>
        <w:rPr>
          <w:spacing w:val="-2"/>
        </w:rPr>
        <w:t xml:space="preserve"> ajánljuk: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</w:tabs>
        <w:spacing w:before="164" w:line="276" w:lineRule="auto"/>
        <w:ind w:right="140"/>
        <w:rPr>
          <w:sz w:val="24"/>
        </w:rPr>
      </w:pPr>
      <w:r>
        <w:rPr>
          <w:sz w:val="24"/>
        </w:rPr>
        <w:t>szakemberrel</w:t>
      </w:r>
      <w:r>
        <w:rPr>
          <w:spacing w:val="80"/>
          <w:sz w:val="24"/>
        </w:rPr>
        <w:t xml:space="preserve"> </w:t>
      </w:r>
      <w:r>
        <w:rPr>
          <w:sz w:val="24"/>
        </w:rPr>
        <w:t>ellenőriztessük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fűtőberendezéseink</w:t>
      </w:r>
      <w:r>
        <w:rPr>
          <w:spacing w:val="80"/>
          <w:sz w:val="24"/>
        </w:rPr>
        <w:t xml:space="preserve"> </w:t>
      </w:r>
      <w:r>
        <w:rPr>
          <w:sz w:val="24"/>
        </w:rPr>
        <w:t>műszaki</w:t>
      </w:r>
      <w:r>
        <w:rPr>
          <w:spacing w:val="80"/>
          <w:sz w:val="24"/>
        </w:rPr>
        <w:t xml:space="preserve"> </w:t>
      </w:r>
      <w:r>
        <w:rPr>
          <w:sz w:val="24"/>
        </w:rPr>
        <w:t>állapotát</w:t>
      </w:r>
      <w:r>
        <w:rPr>
          <w:spacing w:val="80"/>
          <w:sz w:val="24"/>
        </w:rPr>
        <w:t xml:space="preserve"> </w:t>
      </w:r>
      <w:r>
        <w:rPr>
          <w:sz w:val="24"/>
        </w:rPr>
        <w:t>és</w:t>
      </w:r>
      <w:r>
        <w:rPr>
          <w:spacing w:val="80"/>
          <w:sz w:val="24"/>
        </w:rPr>
        <w:t xml:space="preserve"> </w:t>
      </w:r>
      <w:r>
        <w:rPr>
          <w:sz w:val="24"/>
        </w:rPr>
        <w:t>az</w:t>
      </w:r>
      <w:r>
        <w:rPr>
          <w:spacing w:val="80"/>
          <w:sz w:val="24"/>
        </w:rPr>
        <w:t xml:space="preserve"> </w:t>
      </w:r>
      <w:r>
        <w:rPr>
          <w:sz w:val="24"/>
        </w:rPr>
        <w:t>észlelt</w:t>
      </w:r>
      <w:r>
        <w:rPr>
          <w:spacing w:val="40"/>
          <w:sz w:val="24"/>
        </w:rPr>
        <w:t xml:space="preserve"> </w:t>
      </w:r>
      <w:r>
        <w:rPr>
          <w:sz w:val="24"/>
        </w:rPr>
        <w:t>hiányosságokat mielőbb távolítassuk el,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  <w:tab w:val="left" w:pos="2088"/>
          <w:tab w:val="left" w:pos="2636"/>
          <w:tab w:val="left" w:pos="4112"/>
          <w:tab w:val="left" w:pos="5370"/>
          <w:tab w:val="left" w:pos="7014"/>
          <w:tab w:val="left" w:pos="8674"/>
        </w:tabs>
        <w:spacing w:before="118" w:line="276" w:lineRule="auto"/>
        <w:ind w:right="139"/>
        <w:rPr>
          <w:sz w:val="24"/>
        </w:rPr>
      </w:pPr>
      <w:r>
        <w:rPr>
          <w:spacing w:val="-2"/>
          <w:sz w:val="24"/>
        </w:rPr>
        <w:t>biztosítsuk</w:t>
      </w:r>
      <w:r>
        <w:rPr>
          <w:sz w:val="24"/>
        </w:rPr>
        <w:tab/>
      </w:r>
      <w:r>
        <w:rPr>
          <w:spacing w:val="-6"/>
          <w:sz w:val="24"/>
        </w:rPr>
        <w:t>be</w:t>
      </w:r>
      <w:r>
        <w:rPr>
          <w:sz w:val="24"/>
        </w:rPr>
        <w:tab/>
        <w:t>a kémények</w:t>
      </w:r>
      <w:r>
        <w:rPr>
          <w:sz w:val="24"/>
        </w:rPr>
        <w:tab/>
      </w:r>
      <w:r>
        <w:rPr>
          <w:spacing w:val="-2"/>
          <w:sz w:val="24"/>
        </w:rPr>
        <w:t>szakszerű</w:t>
      </w:r>
      <w:r>
        <w:rPr>
          <w:sz w:val="24"/>
        </w:rPr>
        <w:tab/>
      </w:r>
      <w:r>
        <w:rPr>
          <w:spacing w:val="-2"/>
          <w:sz w:val="24"/>
        </w:rPr>
        <w:t>átellenőrzését</w:t>
      </w:r>
      <w:r>
        <w:rPr>
          <w:sz w:val="24"/>
        </w:rPr>
        <w:tab/>
      </w:r>
      <w:r>
        <w:rPr>
          <w:spacing w:val="-2"/>
          <w:sz w:val="24"/>
        </w:rPr>
        <w:t>szakemberrel,</w:t>
      </w:r>
      <w:r>
        <w:rPr>
          <w:sz w:val="24"/>
        </w:rPr>
        <w:tab/>
      </w:r>
      <w:r>
        <w:rPr>
          <w:spacing w:val="-2"/>
          <w:sz w:val="24"/>
        </w:rPr>
        <w:t xml:space="preserve">mielőtt </w:t>
      </w:r>
      <w:r>
        <w:rPr>
          <w:sz w:val="24"/>
        </w:rPr>
        <w:t>a fűtőberendezést csatlakoztatjuk a kéményhez,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  <w:tab w:val="left" w:pos="2530"/>
          <w:tab w:val="left" w:pos="3314"/>
          <w:tab w:val="left" w:pos="4912"/>
          <w:tab w:val="left" w:pos="6849"/>
          <w:tab w:val="left" w:pos="7862"/>
          <w:tab w:val="left" w:pos="9167"/>
        </w:tabs>
        <w:spacing w:line="278" w:lineRule="auto"/>
        <w:ind w:right="140"/>
        <w:rPr>
          <w:sz w:val="24"/>
        </w:rPr>
      </w:pPr>
      <w:r>
        <w:rPr>
          <w:spacing w:val="-2"/>
          <w:sz w:val="24"/>
        </w:rPr>
        <w:t>kéményseprővel</w:t>
      </w:r>
      <w:r>
        <w:rPr>
          <w:sz w:val="24"/>
        </w:rPr>
        <w:tab/>
      </w:r>
      <w:r>
        <w:rPr>
          <w:spacing w:val="-4"/>
          <w:sz w:val="24"/>
        </w:rPr>
        <w:t>(vagy</w:t>
      </w:r>
      <w:r>
        <w:rPr>
          <w:sz w:val="24"/>
        </w:rPr>
        <w:tab/>
      </w:r>
      <w:r>
        <w:rPr>
          <w:spacing w:val="-2"/>
          <w:sz w:val="24"/>
        </w:rPr>
        <w:t>szakemberrel)</w:t>
      </w:r>
      <w:r>
        <w:rPr>
          <w:sz w:val="24"/>
        </w:rPr>
        <w:tab/>
      </w:r>
      <w:r>
        <w:rPr>
          <w:spacing w:val="-2"/>
          <w:sz w:val="24"/>
        </w:rPr>
        <w:t>ellenőriztessük,és</w:t>
      </w:r>
      <w:r>
        <w:rPr>
          <w:sz w:val="24"/>
        </w:rPr>
        <w:tab/>
      </w:r>
      <w:r>
        <w:rPr>
          <w:spacing w:val="-2"/>
          <w:sz w:val="24"/>
        </w:rPr>
        <w:t>egyúttal</w:t>
      </w:r>
      <w:r>
        <w:rPr>
          <w:sz w:val="24"/>
        </w:rPr>
        <w:tab/>
      </w:r>
      <w:r>
        <w:rPr>
          <w:spacing w:val="-2"/>
          <w:sz w:val="24"/>
        </w:rPr>
        <w:t>tisztítassuk</w:t>
      </w:r>
      <w:r>
        <w:rPr>
          <w:sz w:val="24"/>
        </w:rPr>
        <w:tab/>
      </w:r>
      <w:r>
        <w:rPr>
          <w:spacing w:val="-6"/>
          <w:sz w:val="24"/>
        </w:rPr>
        <w:t xml:space="preserve">ki </w:t>
      </w:r>
      <w:r>
        <w:rPr>
          <w:sz w:val="24"/>
        </w:rPr>
        <w:t>a kéményeket a füstcsöveket, és az általa kiadott elismervényt őrizzük meg,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</w:tabs>
        <w:spacing w:before="116" w:line="276" w:lineRule="auto"/>
        <w:ind w:right="14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kéményseprő</w:t>
      </w:r>
      <w:r>
        <w:rPr>
          <w:spacing w:val="28"/>
          <w:sz w:val="24"/>
        </w:rPr>
        <w:t xml:space="preserve"> </w:t>
      </w:r>
      <w:r>
        <w:rPr>
          <w:sz w:val="24"/>
        </w:rPr>
        <w:t>által</w:t>
      </w:r>
      <w:r>
        <w:rPr>
          <w:spacing w:val="33"/>
          <w:sz w:val="24"/>
        </w:rPr>
        <w:t xml:space="preserve"> </w:t>
      </w:r>
      <w:r>
        <w:rPr>
          <w:sz w:val="24"/>
        </w:rPr>
        <w:t>kiadott</w:t>
      </w:r>
      <w:r>
        <w:rPr>
          <w:spacing w:val="33"/>
          <w:sz w:val="24"/>
        </w:rPr>
        <w:t xml:space="preserve"> </w:t>
      </w:r>
      <w:r>
        <w:rPr>
          <w:sz w:val="24"/>
        </w:rPr>
        <w:t>elismervényt</w:t>
      </w:r>
      <w:r>
        <w:rPr>
          <w:spacing w:val="30"/>
          <w:sz w:val="24"/>
        </w:rPr>
        <w:t xml:space="preserve"> </w:t>
      </w:r>
      <w:r>
        <w:rPr>
          <w:sz w:val="24"/>
        </w:rPr>
        <w:t>őrizzük</w:t>
      </w:r>
      <w:r>
        <w:rPr>
          <w:spacing w:val="30"/>
          <w:sz w:val="24"/>
        </w:rPr>
        <w:t xml:space="preserve"> </w:t>
      </w:r>
      <w:r>
        <w:rPr>
          <w:sz w:val="24"/>
        </w:rPr>
        <w:t>meg</w:t>
      </w:r>
      <w:r>
        <w:rPr>
          <w:spacing w:val="30"/>
          <w:sz w:val="24"/>
        </w:rPr>
        <w:t xml:space="preserve"> </w:t>
      </w:r>
      <w:r>
        <w:rPr>
          <w:sz w:val="24"/>
        </w:rPr>
        <w:t>és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község</w:t>
      </w:r>
      <w:r>
        <w:rPr>
          <w:spacing w:val="30"/>
          <w:sz w:val="24"/>
        </w:rPr>
        <w:t xml:space="preserve"> </w:t>
      </w:r>
      <w:r>
        <w:rPr>
          <w:sz w:val="24"/>
        </w:rPr>
        <w:t>tűzvédelmi</w:t>
      </w:r>
      <w:r>
        <w:rPr>
          <w:spacing w:val="33"/>
          <w:sz w:val="24"/>
        </w:rPr>
        <w:t xml:space="preserve"> </w:t>
      </w:r>
      <w:r>
        <w:rPr>
          <w:sz w:val="24"/>
        </w:rPr>
        <w:t>ellenőrő csoportjának kérésére</w:t>
      </w:r>
      <w:r>
        <w:rPr>
          <w:spacing w:val="40"/>
          <w:sz w:val="24"/>
        </w:rPr>
        <w:t xml:space="preserve"> </w:t>
      </w:r>
      <w:r>
        <w:rPr>
          <w:sz w:val="24"/>
        </w:rPr>
        <w:t>mutassuk fel,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fűtőberendezéseket</w:t>
      </w:r>
      <w:r>
        <w:rPr>
          <w:spacing w:val="1"/>
          <w:sz w:val="24"/>
        </w:rPr>
        <w:t xml:space="preserve"> </w:t>
      </w:r>
      <w:r>
        <w:rPr>
          <w:sz w:val="24"/>
        </w:rPr>
        <w:t>csak</w:t>
      </w:r>
      <w:r>
        <w:rPr>
          <w:spacing w:val="-1"/>
          <w:sz w:val="24"/>
        </w:rPr>
        <w:t xml:space="preserve"> </w:t>
      </w:r>
      <w:r>
        <w:rPr>
          <w:sz w:val="24"/>
        </w:rPr>
        <w:t>a gyártó</w:t>
      </w:r>
      <w:r>
        <w:rPr>
          <w:spacing w:val="-1"/>
          <w:sz w:val="24"/>
        </w:rPr>
        <w:t xml:space="preserve"> </w:t>
      </w:r>
      <w:r>
        <w:rPr>
          <w:sz w:val="24"/>
        </w:rPr>
        <w:t>utasításai</w:t>
      </w:r>
      <w:r>
        <w:rPr>
          <w:spacing w:val="-3"/>
          <w:sz w:val="24"/>
        </w:rPr>
        <w:t xml:space="preserve"> </w:t>
      </w:r>
      <w:r>
        <w:rPr>
          <w:sz w:val="24"/>
        </w:rPr>
        <w:t>értelmében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üzemeltessük,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0"/>
        </w:tabs>
        <w:spacing w:before="163"/>
        <w:ind w:left="720" w:hanging="359"/>
        <w:rPr>
          <w:sz w:val="24"/>
        </w:rPr>
      </w:pPr>
      <w:r>
        <w:rPr>
          <w:sz w:val="24"/>
        </w:rPr>
        <w:t>ne</w:t>
      </w:r>
      <w:r>
        <w:rPr>
          <w:spacing w:val="-4"/>
          <w:sz w:val="24"/>
        </w:rPr>
        <w:t xml:space="preserve"> </w:t>
      </w:r>
      <w:r>
        <w:rPr>
          <w:sz w:val="24"/>
        </w:rPr>
        <w:t>hevítsük</w:t>
      </w:r>
      <w:r>
        <w:rPr>
          <w:spacing w:val="-1"/>
          <w:sz w:val="24"/>
        </w:rPr>
        <w:t xml:space="preserve"> </w:t>
      </w:r>
      <w:r>
        <w:rPr>
          <w:sz w:val="24"/>
        </w:rPr>
        <w:t>túl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fűtőtesteket,</w:t>
      </w:r>
      <w:r>
        <w:rPr>
          <w:spacing w:val="-1"/>
          <w:sz w:val="24"/>
        </w:rPr>
        <w:t xml:space="preserve"> </w:t>
      </w: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használjuk</w:t>
      </w:r>
      <w:r>
        <w:rPr>
          <w:spacing w:val="-2"/>
          <w:sz w:val="24"/>
        </w:rPr>
        <w:t xml:space="preserve"> </w:t>
      </w:r>
      <w:r>
        <w:rPr>
          <w:sz w:val="24"/>
        </w:rPr>
        <w:t>otthon</w:t>
      </w:r>
      <w:r>
        <w:rPr>
          <w:spacing w:val="-1"/>
          <w:sz w:val="24"/>
        </w:rPr>
        <w:t xml:space="preserve"> </w:t>
      </w:r>
      <w:r>
        <w:rPr>
          <w:sz w:val="24"/>
        </w:rPr>
        <w:t>barkácsolt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berendezéseket,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0"/>
        </w:tabs>
        <w:spacing w:before="161"/>
        <w:ind w:left="720" w:hanging="359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fűtőberendezések</w:t>
      </w:r>
      <w:r>
        <w:rPr>
          <w:spacing w:val="-3"/>
          <w:sz w:val="24"/>
        </w:rPr>
        <w:t xml:space="preserve"> </w:t>
      </w:r>
      <w:r>
        <w:rPr>
          <w:sz w:val="24"/>
        </w:rPr>
        <w:t>közelében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ne tartsunk éghető </w:t>
      </w:r>
      <w:r>
        <w:rPr>
          <w:spacing w:val="-2"/>
          <w:sz w:val="24"/>
        </w:rPr>
        <w:t>anyagokat,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81"/>
        </w:tabs>
        <w:spacing w:before="161"/>
        <w:ind w:left="781" w:hanging="420"/>
        <w:rPr>
          <w:sz w:val="24"/>
        </w:rPr>
      </w:pP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hagyjuk</w:t>
      </w:r>
      <w:r>
        <w:rPr>
          <w:spacing w:val="59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működésben lévő</w:t>
      </w:r>
      <w:r>
        <w:rPr>
          <w:spacing w:val="-1"/>
          <w:sz w:val="24"/>
        </w:rPr>
        <w:t xml:space="preserve"> </w:t>
      </w:r>
      <w:r>
        <w:rPr>
          <w:sz w:val="24"/>
        </w:rPr>
        <w:t>fűtőberendezéseket</w:t>
      </w:r>
      <w:r>
        <w:rPr>
          <w:spacing w:val="-2"/>
          <w:sz w:val="24"/>
        </w:rPr>
        <w:t xml:space="preserve"> </w:t>
      </w:r>
      <w:r>
        <w:rPr>
          <w:sz w:val="24"/>
        </w:rPr>
        <w:t>felügyelet</w:t>
      </w:r>
      <w:r>
        <w:rPr>
          <w:spacing w:val="-2"/>
          <w:sz w:val="24"/>
        </w:rPr>
        <w:t xml:space="preserve"> nélkül,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</w:tabs>
        <w:spacing w:before="161" w:line="278" w:lineRule="auto"/>
        <w:ind w:right="138"/>
        <w:jc w:val="both"/>
        <w:rPr>
          <w:sz w:val="24"/>
        </w:rPr>
      </w:pPr>
      <w:r>
        <w:rPr>
          <w:sz w:val="24"/>
        </w:rPr>
        <w:t>kazánok vagy fűtőberendezések</w:t>
      </w:r>
      <w:r>
        <w:rPr>
          <w:spacing w:val="40"/>
          <w:sz w:val="24"/>
        </w:rPr>
        <w:t xml:space="preserve"> </w:t>
      </w:r>
      <w:r>
        <w:rPr>
          <w:sz w:val="24"/>
        </w:rPr>
        <w:t>közelében ajánlott szén monoxid érzékelő vagy gázérzékelő berendezést szerelni,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</w:tabs>
        <w:spacing w:before="115" w:line="276" w:lineRule="auto"/>
        <w:ind w:right="135"/>
        <w:jc w:val="both"/>
        <w:rPr>
          <w:sz w:val="24"/>
        </w:rPr>
      </w:pPr>
      <w:r>
        <w:rPr>
          <w:sz w:val="24"/>
        </w:rPr>
        <w:t>gyerekeknek</w:t>
      </w:r>
      <w:r>
        <w:rPr>
          <w:spacing w:val="40"/>
          <w:sz w:val="24"/>
        </w:rPr>
        <w:t xml:space="preserve"> </w:t>
      </w:r>
      <w:r>
        <w:rPr>
          <w:sz w:val="24"/>
        </w:rPr>
        <w:t>ne engedjük</w:t>
      </w:r>
      <w:r>
        <w:rPr>
          <w:spacing w:val="40"/>
          <w:sz w:val="24"/>
        </w:rPr>
        <w:t xml:space="preserve"> </w:t>
      </w:r>
      <w:r>
        <w:rPr>
          <w:sz w:val="24"/>
        </w:rPr>
        <w:t>hogy ezeket a berendezéseket kezeljék, vagy más módon manipuláljanak velük,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</w:tabs>
        <w:spacing w:line="278" w:lineRule="auto"/>
        <w:ind w:right="140"/>
        <w:jc w:val="both"/>
        <w:rPr>
          <w:sz w:val="24"/>
        </w:rPr>
      </w:pPr>
      <w:r>
        <w:rPr>
          <w:sz w:val="24"/>
        </w:rPr>
        <w:t>begyújtáshoz</w:t>
      </w:r>
      <w:r>
        <w:rPr>
          <w:spacing w:val="-7"/>
          <w:sz w:val="24"/>
        </w:rPr>
        <w:t xml:space="preserve"> </w:t>
      </w:r>
      <w:r>
        <w:rPr>
          <w:sz w:val="24"/>
        </w:rPr>
        <w:t>és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fűtéshez</w:t>
      </w:r>
      <w:r>
        <w:rPr>
          <w:spacing w:val="40"/>
          <w:sz w:val="24"/>
        </w:rPr>
        <w:t xml:space="preserve"> </w:t>
      </w:r>
      <w:r>
        <w:rPr>
          <w:sz w:val="24"/>
        </w:rPr>
        <w:t>csak</w:t>
      </w:r>
      <w:r>
        <w:rPr>
          <w:spacing w:val="-6"/>
          <w:sz w:val="24"/>
        </w:rPr>
        <w:t xml:space="preserve"> </w:t>
      </w:r>
      <w:r>
        <w:rPr>
          <w:sz w:val="24"/>
        </w:rPr>
        <w:t>olyan</w:t>
      </w:r>
      <w:r>
        <w:rPr>
          <w:spacing w:val="-7"/>
          <w:sz w:val="24"/>
        </w:rPr>
        <w:t xml:space="preserve"> </w:t>
      </w:r>
      <w:r>
        <w:rPr>
          <w:sz w:val="24"/>
        </w:rPr>
        <w:t>fűtőanyagokat</w:t>
      </w:r>
      <w:r>
        <w:rPr>
          <w:spacing w:val="-6"/>
          <w:sz w:val="24"/>
        </w:rPr>
        <w:t xml:space="preserve"> </w:t>
      </w:r>
      <w:r>
        <w:rPr>
          <w:sz w:val="24"/>
        </w:rPr>
        <w:t>és</w:t>
      </w:r>
      <w:r>
        <w:rPr>
          <w:spacing w:val="-3"/>
          <w:sz w:val="24"/>
        </w:rPr>
        <w:t xml:space="preserve"> </w:t>
      </w:r>
      <w:r>
        <w:rPr>
          <w:sz w:val="24"/>
        </w:rPr>
        <w:t>eszközöket</w:t>
      </w:r>
      <w:r>
        <w:rPr>
          <w:spacing w:val="-6"/>
          <w:sz w:val="24"/>
        </w:rPr>
        <w:t xml:space="preserve"> </w:t>
      </w:r>
      <w:r>
        <w:rPr>
          <w:sz w:val="24"/>
        </w:rPr>
        <w:t>használjunk,</w:t>
      </w:r>
      <w:r>
        <w:rPr>
          <w:spacing w:val="-6"/>
          <w:sz w:val="24"/>
        </w:rPr>
        <w:t xml:space="preserve"> </w:t>
      </w:r>
      <w:r>
        <w:rPr>
          <w:sz w:val="24"/>
        </w:rPr>
        <w:t>amelyek a gyártó által ajánlottak és engedélyezettek,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</w:tabs>
        <w:spacing w:before="116" w:line="276" w:lineRule="auto"/>
        <w:ind w:right="138"/>
        <w:jc w:val="both"/>
        <w:rPr>
          <w:sz w:val="24"/>
        </w:rPr>
      </w:pPr>
      <w:r>
        <w:rPr>
          <w:sz w:val="24"/>
        </w:rPr>
        <w:t>gondoskodjunk</w:t>
      </w:r>
      <w:r>
        <w:rPr>
          <w:spacing w:val="-15"/>
          <w:sz w:val="24"/>
        </w:rPr>
        <w:t xml:space="preserve"> </w:t>
      </w:r>
      <w:r>
        <w:rPr>
          <w:sz w:val="24"/>
        </w:rPr>
        <w:t>arról,</w:t>
      </w:r>
      <w:r>
        <w:rPr>
          <w:spacing w:val="-15"/>
          <w:sz w:val="24"/>
        </w:rPr>
        <w:t xml:space="preserve"> </w:t>
      </w:r>
      <w:r>
        <w:rPr>
          <w:sz w:val="24"/>
        </w:rPr>
        <w:t>hogy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fűtőberendezések</w:t>
      </w:r>
      <w:r>
        <w:rPr>
          <w:spacing w:val="-15"/>
          <w:sz w:val="24"/>
        </w:rPr>
        <w:t xml:space="preserve"> </w:t>
      </w:r>
      <w:r>
        <w:rPr>
          <w:sz w:val="24"/>
        </w:rPr>
        <w:t>és</w:t>
      </w:r>
      <w:r>
        <w:rPr>
          <w:spacing w:val="-15"/>
          <w:sz w:val="24"/>
        </w:rPr>
        <w:t xml:space="preserve"> </w:t>
      </w:r>
      <w:r>
        <w:rPr>
          <w:sz w:val="24"/>
        </w:rPr>
        <w:t>más</w:t>
      </w:r>
      <w:r>
        <w:rPr>
          <w:spacing w:val="-15"/>
          <w:sz w:val="24"/>
        </w:rPr>
        <w:t xml:space="preserve"> </w:t>
      </w:r>
      <w:r>
        <w:rPr>
          <w:sz w:val="24"/>
        </w:rPr>
        <w:t>hőforrások</w:t>
      </w:r>
      <w:r>
        <w:rPr>
          <w:spacing w:val="-15"/>
          <w:sz w:val="24"/>
        </w:rPr>
        <w:t xml:space="preserve"> </w:t>
      </w:r>
      <w:r>
        <w:rPr>
          <w:sz w:val="24"/>
        </w:rPr>
        <w:t>biztonságos</w:t>
      </w:r>
      <w:r>
        <w:rPr>
          <w:spacing w:val="-15"/>
          <w:sz w:val="24"/>
        </w:rPr>
        <w:t xml:space="preserve"> </w:t>
      </w:r>
      <w:r>
        <w:rPr>
          <w:sz w:val="24"/>
        </w:rPr>
        <w:t>távolságban, valamint hőálló anyagokkal</w:t>
      </w:r>
      <w:r>
        <w:rPr>
          <w:spacing w:val="40"/>
          <w:sz w:val="24"/>
        </w:rPr>
        <w:t xml:space="preserve"> </w:t>
      </w:r>
      <w:r>
        <w:rPr>
          <w:sz w:val="24"/>
        </w:rPr>
        <w:t>(amelyek szerkezete, mérete és elhelyezése az előírt feltételnek megfelel)</w:t>
      </w:r>
      <w:r>
        <w:rPr>
          <w:spacing w:val="40"/>
          <w:sz w:val="24"/>
        </w:rPr>
        <w:t xml:space="preserve"> </w:t>
      </w:r>
      <w:r>
        <w:rPr>
          <w:sz w:val="24"/>
        </w:rPr>
        <w:t>legyenek elválasztva az éghető anyagoktól,</w:t>
      </w: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</w:tabs>
        <w:spacing w:before="121" w:line="276" w:lineRule="auto"/>
        <w:ind w:right="139"/>
        <w:jc w:val="both"/>
        <w:rPr>
          <w:sz w:val="24"/>
        </w:rPr>
      </w:pPr>
      <w:r>
        <w:rPr>
          <w:sz w:val="24"/>
        </w:rPr>
        <w:t>a hamut és más égéstermékeket erre a</w:t>
      </w:r>
      <w:r>
        <w:rPr>
          <w:spacing w:val="-2"/>
          <w:sz w:val="24"/>
        </w:rPr>
        <w:t xml:space="preserve"> </w:t>
      </w:r>
      <w:r>
        <w:rPr>
          <w:sz w:val="24"/>
        </w:rPr>
        <w:t>célra megfelelö, nem éghető tárolóedényekben tároljuk elkülönítve más hulladékoktól,</w:t>
      </w:r>
    </w:p>
    <w:p w:rsidR="00FF3AE8" w:rsidRDefault="00FF3AE8" w:rsidP="00FF3AE8">
      <w:pPr>
        <w:pStyle w:val="Zkladntext"/>
        <w:spacing w:before="4"/>
        <w:rPr>
          <w:sz w:val="15"/>
        </w:rPr>
      </w:pPr>
    </w:p>
    <w:tbl>
      <w:tblPr>
        <w:tblStyle w:val="TableNormal"/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4131"/>
        <w:gridCol w:w="2412"/>
        <w:gridCol w:w="1489"/>
        <w:gridCol w:w="1184"/>
      </w:tblGrid>
      <w:tr w:rsidR="00FF3AE8" w:rsidTr="00664757">
        <w:trPr>
          <w:trHeight w:val="235"/>
        </w:trPr>
        <w:tc>
          <w:tcPr>
            <w:tcW w:w="4131" w:type="dxa"/>
            <w:tcBorders>
              <w:top w:val="single" w:sz="4" w:space="0" w:color="000000"/>
            </w:tcBorders>
          </w:tcPr>
          <w:p w:rsidR="00FF3AE8" w:rsidRDefault="00FF3AE8" w:rsidP="00664757">
            <w:pPr>
              <w:pStyle w:val="TableParagraph"/>
              <w:spacing w:before="33" w:line="183" w:lineRule="exact"/>
              <w:ind w:left="2764"/>
              <w:rPr>
                <w:sz w:val="16"/>
              </w:rPr>
            </w:pPr>
            <w:r>
              <w:rPr>
                <w:spacing w:val="-2"/>
                <w:sz w:val="16"/>
              </w:rPr>
              <w:t>Telefón</w:t>
            </w:r>
          </w:p>
        </w:tc>
        <w:tc>
          <w:tcPr>
            <w:tcW w:w="2412" w:type="dxa"/>
            <w:tcBorders>
              <w:top w:val="single" w:sz="4" w:space="0" w:color="000000"/>
            </w:tcBorders>
          </w:tcPr>
          <w:p w:rsidR="00FF3AE8" w:rsidRDefault="00FF3AE8" w:rsidP="00664757">
            <w:pPr>
              <w:pStyle w:val="TableParagraph"/>
              <w:spacing w:before="33" w:line="183" w:lineRule="exact"/>
              <w:rPr>
                <w:sz w:val="16"/>
              </w:rPr>
            </w:pPr>
            <w:r>
              <w:rPr>
                <w:sz w:val="16"/>
              </w:rPr>
              <w:t>E-</w:t>
            </w:r>
            <w:r>
              <w:rPr>
                <w:spacing w:val="-4"/>
                <w:sz w:val="16"/>
              </w:rPr>
              <w:t>mail</w:t>
            </w:r>
          </w:p>
        </w:tc>
        <w:tc>
          <w:tcPr>
            <w:tcW w:w="1489" w:type="dxa"/>
            <w:tcBorders>
              <w:top w:val="single" w:sz="4" w:space="0" w:color="000000"/>
            </w:tcBorders>
          </w:tcPr>
          <w:p w:rsidR="00FF3AE8" w:rsidRDefault="00FF3AE8" w:rsidP="00664757">
            <w:pPr>
              <w:pStyle w:val="TableParagraph"/>
              <w:spacing w:before="33" w:line="183" w:lineRule="exact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Internet</w:t>
            </w:r>
          </w:p>
        </w:tc>
        <w:tc>
          <w:tcPr>
            <w:tcW w:w="1184" w:type="dxa"/>
            <w:tcBorders>
              <w:top w:val="single" w:sz="4" w:space="0" w:color="000000"/>
            </w:tcBorders>
          </w:tcPr>
          <w:p w:rsidR="00FF3AE8" w:rsidRDefault="00FF3AE8" w:rsidP="00664757">
            <w:pPr>
              <w:pStyle w:val="TableParagraph"/>
              <w:spacing w:before="33" w:line="183" w:lineRule="exact"/>
              <w:ind w:left="401"/>
              <w:rPr>
                <w:sz w:val="16"/>
              </w:rPr>
            </w:pPr>
            <w:r>
              <w:rPr>
                <w:spacing w:val="-5"/>
                <w:sz w:val="16"/>
              </w:rPr>
              <w:t>IČO</w:t>
            </w:r>
          </w:p>
        </w:tc>
      </w:tr>
      <w:tr w:rsidR="00FF3AE8" w:rsidTr="00664757">
        <w:trPr>
          <w:trHeight w:val="197"/>
        </w:trPr>
        <w:tc>
          <w:tcPr>
            <w:tcW w:w="4131" w:type="dxa"/>
          </w:tcPr>
          <w:p w:rsidR="00FF3AE8" w:rsidRDefault="00FF3AE8" w:rsidP="00664757">
            <w:pPr>
              <w:pStyle w:val="TableParagraph"/>
              <w:ind w:left="2764"/>
              <w:rPr>
                <w:sz w:val="16"/>
              </w:rPr>
            </w:pPr>
            <w:r>
              <w:rPr>
                <w:spacing w:val="-2"/>
                <w:sz w:val="16"/>
              </w:rPr>
              <w:t>+4219615746</w:t>
            </w:r>
          </w:p>
        </w:tc>
        <w:tc>
          <w:tcPr>
            <w:tcW w:w="2412" w:type="dxa"/>
          </w:tcPr>
          <w:p w:rsidR="00FF3AE8" w:rsidRDefault="00FF3AE8" w:rsidP="00664757">
            <w:pPr>
              <w:pStyle w:val="TableParagraph"/>
              <w:rPr>
                <w:sz w:val="16"/>
              </w:rPr>
            </w:pPr>
            <w:hyperlink r:id="rId5" w:history="1">
              <w:r w:rsidRPr="00756AAC">
                <w:rPr>
                  <w:rStyle w:val="Hypertextovprepojenie"/>
                  <w:spacing w:val="-2"/>
                  <w:sz w:val="16"/>
                </w:rPr>
                <w:t>karina.jakusova2@minv.sk</w:t>
              </w:r>
            </w:hyperlink>
          </w:p>
        </w:tc>
        <w:tc>
          <w:tcPr>
            <w:tcW w:w="1489" w:type="dxa"/>
          </w:tcPr>
          <w:p w:rsidR="00FF3AE8" w:rsidRDefault="00FF3AE8" w:rsidP="00664757">
            <w:pPr>
              <w:pStyle w:val="TableParagraph"/>
              <w:ind w:left="188"/>
              <w:rPr>
                <w:sz w:val="16"/>
              </w:rPr>
            </w:pPr>
            <w:hyperlink r:id="rId6">
              <w:r>
                <w:rPr>
                  <w:spacing w:val="-2"/>
                  <w:sz w:val="16"/>
                </w:rPr>
                <w:t>www.minv.sk</w:t>
              </w:r>
            </w:hyperlink>
          </w:p>
        </w:tc>
        <w:tc>
          <w:tcPr>
            <w:tcW w:w="1184" w:type="dxa"/>
          </w:tcPr>
          <w:p w:rsidR="00FF3AE8" w:rsidRDefault="00FF3AE8" w:rsidP="00664757">
            <w:pPr>
              <w:pStyle w:val="TableParagraph"/>
              <w:ind w:left="400"/>
              <w:rPr>
                <w:sz w:val="16"/>
              </w:rPr>
            </w:pPr>
            <w:r>
              <w:rPr>
                <w:spacing w:val="-2"/>
                <w:sz w:val="16"/>
              </w:rPr>
              <w:t>00151866</w:t>
            </w:r>
          </w:p>
        </w:tc>
      </w:tr>
    </w:tbl>
    <w:p w:rsidR="00FF3AE8" w:rsidRDefault="00FF3AE8" w:rsidP="00FF3AE8">
      <w:pPr>
        <w:pStyle w:val="TableParagraph"/>
        <w:rPr>
          <w:sz w:val="16"/>
        </w:rPr>
        <w:sectPr w:rsidR="00FF3AE8">
          <w:pgSz w:w="11910" w:h="16840"/>
          <w:pgMar w:top="1620" w:right="992" w:bottom="880" w:left="1417" w:header="0" w:footer="646" w:gutter="0"/>
          <w:cols w:space="708"/>
        </w:sectPr>
      </w:pPr>
    </w:p>
    <w:p w:rsidR="00FF3AE8" w:rsidRDefault="00FF3AE8" w:rsidP="00FF3AE8">
      <w:pPr>
        <w:pStyle w:val="Odsekzoznamu"/>
        <w:numPr>
          <w:ilvl w:val="0"/>
          <w:numId w:val="1"/>
        </w:numPr>
        <w:tabs>
          <w:tab w:val="left" w:pos="721"/>
        </w:tabs>
        <w:spacing w:before="62" w:line="276" w:lineRule="auto"/>
        <w:ind w:right="136"/>
        <w:rPr>
          <w:sz w:val="24"/>
        </w:rPr>
      </w:pPr>
      <w:r>
        <w:rPr>
          <w:sz w:val="24"/>
        </w:rPr>
        <w:lastRenderedPageBreak/>
        <w:t>a fűtőanyagok raktáraiban tartsunk rendet, az egyes fűtőanyagokat tároljuk elkülönítve,</w:t>
      </w:r>
      <w:r>
        <w:rPr>
          <w:spacing w:val="40"/>
          <w:sz w:val="24"/>
        </w:rPr>
        <w:t xml:space="preserve"> </w:t>
      </w:r>
      <w:r>
        <w:rPr>
          <w:sz w:val="24"/>
        </w:rPr>
        <w:t>lehetőleg minél pormentesebben.</w:t>
      </w:r>
    </w:p>
    <w:p w:rsidR="00FF3AE8" w:rsidRDefault="00FF3AE8" w:rsidP="00FF3AE8">
      <w:pPr>
        <w:pStyle w:val="Zkladntext"/>
        <w:spacing w:before="40"/>
      </w:pPr>
    </w:p>
    <w:p w:rsidR="00A726A7" w:rsidRDefault="00FF3AE8" w:rsidP="00FF3AE8">
      <w:r>
        <w:t>Az</w:t>
      </w:r>
      <w:r>
        <w:rPr>
          <w:spacing w:val="37"/>
        </w:rPr>
        <w:t xml:space="preserve"> </w:t>
      </w:r>
      <w:r>
        <w:t>ajánlott</w:t>
      </w:r>
      <w:r>
        <w:rPr>
          <w:spacing w:val="40"/>
        </w:rPr>
        <w:t xml:space="preserve"> </w:t>
      </w:r>
      <w:r>
        <w:t>óvintézkedések</w:t>
      </w:r>
      <w:r>
        <w:rPr>
          <w:spacing w:val="37"/>
        </w:rPr>
        <w:t xml:space="preserve"> </w:t>
      </w:r>
      <w:r>
        <w:t>és</w:t>
      </w:r>
      <w:r>
        <w:rPr>
          <w:spacing w:val="40"/>
        </w:rPr>
        <w:t xml:space="preserve"> </w:t>
      </w:r>
      <w:r>
        <w:t>az</w:t>
      </w:r>
      <w:r>
        <w:rPr>
          <w:spacing w:val="40"/>
        </w:rPr>
        <w:t xml:space="preserve"> </w:t>
      </w:r>
      <w:r>
        <w:t>érvényes</w:t>
      </w:r>
      <w:r>
        <w:rPr>
          <w:spacing w:val="40"/>
        </w:rPr>
        <w:t xml:space="preserve"> </w:t>
      </w:r>
      <w:r>
        <w:t>jogszabályok</w:t>
      </w:r>
      <w:r>
        <w:rPr>
          <w:spacing w:val="40"/>
        </w:rPr>
        <w:t xml:space="preserve"> </w:t>
      </w:r>
      <w:r>
        <w:t>betartásával</w:t>
      </w:r>
      <w:r>
        <w:rPr>
          <w:spacing w:val="38"/>
        </w:rPr>
        <w:t xml:space="preserve"> </w:t>
      </w:r>
      <w:r>
        <w:t>csökkenthetjük</w:t>
      </w:r>
      <w:r>
        <w:rPr>
          <w:spacing w:val="40"/>
        </w:rPr>
        <w:t xml:space="preserve"> </w:t>
      </w:r>
      <w:r>
        <w:t>a tűzesetek, egyébb veszélyek és tragédiák</w:t>
      </w:r>
      <w:r>
        <w:rPr>
          <w:spacing w:val="40"/>
        </w:rPr>
        <w:t xml:space="preserve"> </w:t>
      </w:r>
      <w:r>
        <w:t>keletkezését a fűtési időszakban.</w:t>
      </w:r>
    </w:p>
    <w:sectPr w:rsidR="00A72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218F7"/>
    <w:multiLevelType w:val="hybridMultilevel"/>
    <w:tmpl w:val="001CB41C"/>
    <w:lvl w:ilvl="0" w:tplc="2F427BAE">
      <w:numFmt w:val="bullet"/>
      <w:lvlText w:val="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2188AD30">
      <w:numFmt w:val="bullet"/>
      <w:lvlText w:val="•"/>
      <w:lvlJc w:val="left"/>
      <w:pPr>
        <w:ind w:left="1597" w:hanging="360"/>
      </w:pPr>
      <w:rPr>
        <w:rFonts w:hint="default"/>
        <w:lang w:val="sk-SK" w:eastAsia="en-US" w:bidi="ar-SA"/>
      </w:rPr>
    </w:lvl>
    <w:lvl w:ilvl="2" w:tplc="76BA21AC">
      <w:numFmt w:val="bullet"/>
      <w:lvlText w:val="•"/>
      <w:lvlJc w:val="left"/>
      <w:pPr>
        <w:ind w:left="2475" w:hanging="360"/>
      </w:pPr>
      <w:rPr>
        <w:rFonts w:hint="default"/>
        <w:lang w:val="sk-SK" w:eastAsia="en-US" w:bidi="ar-SA"/>
      </w:rPr>
    </w:lvl>
    <w:lvl w:ilvl="3" w:tplc="38D6E53A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A9768F66">
      <w:numFmt w:val="bullet"/>
      <w:lvlText w:val="•"/>
      <w:lvlJc w:val="left"/>
      <w:pPr>
        <w:ind w:left="4230" w:hanging="360"/>
      </w:pPr>
      <w:rPr>
        <w:rFonts w:hint="default"/>
        <w:lang w:val="sk-SK" w:eastAsia="en-US" w:bidi="ar-SA"/>
      </w:rPr>
    </w:lvl>
    <w:lvl w:ilvl="5" w:tplc="BC4AD46A">
      <w:numFmt w:val="bullet"/>
      <w:lvlText w:val="•"/>
      <w:lvlJc w:val="left"/>
      <w:pPr>
        <w:ind w:left="5108" w:hanging="360"/>
      </w:pPr>
      <w:rPr>
        <w:rFonts w:hint="default"/>
        <w:lang w:val="sk-SK" w:eastAsia="en-US" w:bidi="ar-SA"/>
      </w:rPr>
    </w:lvl>
    <w:lvl w:ilvl="6" w:tplc="9D9631A8">
      <w:numFmt w:val="bullet"/>
      <w:lvlText w:val="•"/>
      <w:lvlJc w:val="left"/>
      <w:pPr>
        <w:ind w:left="5986" w:hanging="360"/>
      </w:pPr>
      <w:rPr>
        <w:rFonts w:hint="default"/>
        <w:lang w:val="sk-SK" w:eastAsia="en-US" w:bidi="ar-SA"/>
      </w:rPr>
    </w:lvl>
    <w:lvl w:ilvl="7" w:tplc="5CA6BD1E">
      <w:numFmt w:val="bullet"/>
      <w:lvlText w:val="•"/>
      <w:lvlJc w:val="left"/>
      <w:pPr>
        <w:ind w:left="6864" w:hanging="360"/>
      </w:pPr>
      <w:rPr>
        <w:rFonts w:hint="default"/>
        <w:lang w:val="sk-SK" w:eastAsia="en-US" w:bidi="ar-SA"/>
      </w:rPr>
    </w:lvl>
    <w:lvl w:ilvl="8" w:tplc="CCE87748">
      <w:numFmt w:val="bullet"/>
      <w:lvlText w:val="•"/>
      <w:lvlJc w:val="left"/>
      <w:pPr>
        <w:ind w:left="7741" w:hanging="360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AE8"/>
    <w:rsid w:val="00A726A7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849FA"/>
  <w15:chartTrackingRefBased/>
  <w15:docId w15:val="{8E0BCCDF-4928-45EE-98AA-4212BA3F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FF3A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dpis1">
    <w:name w:val="heading 1"/>
    <w:basedOn w:val="Normlny"/>
    <w:link w:val="Nadpis1Char"/>
    <w:uiPriority w:val="1"/>
    <w:qFormat/>
    <w:rsid w:val="00FF3AE8"/>
    <w:pPr>
      <w:ind w:left="1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FF3AE8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F3A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FF3AE8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FF3AE8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FF3AE8"/>
    <w:pPr>
      <w:spacing w:before="119"/>
      <w:ind w:left="721" w:hanging="360"/>
    </w:pPr>
  </w:style>
  <w:style w:type="paragraph" w:customStyle="1" w:styleId="TableParagraph">
    <w:name w:val="Table Paragraph"/>
    <w:basedOn w:val="Normlny"/>
    <w:uiPriority w:val="1"/>
    <w:qFormat/>
    <w:rsid w:val="00FF3AE8"/>
    <w:pPr>
      <w:spacing w:before="13" w:line="164" w:lineRule="exact"/>
      <w:ind w:left="475"/>
    </w:pPr>
  </w:style>
  <w:style w:type="character" w:styleId="Hypertextovprepojenie">
    <w:name w:val="Hyperlink"/>
    <w:basedOn w:val="Predvolenpsmoodseku"/>
    <w:uiPriority w:val="99"/>
    <w:unhideWhenUsed/>
    <w:rsid w:val="00FF3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nv.sk/" TargetMode="External"/><Relationship Id="rId5" Type="http://schemas.openxmlformats.org/officeDocument/2006/relationships/hyperlink" Target="mailto:karina.jakusova2@min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2026-10-05T13:31:00Z</dcterms:created>
  <dcterms:modified xsi:type="dcterms:W3CDTF">2026-10-05T13:34:00Z</dcterms:modified>
</cp:coreProperties>
</file>