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E90" w:rsidRDefault="004B337F">
      <w:pPr>
        <w:spacing w:before="62"/>
        <w:ind w:left="4321"/>
      </w:pPr>
      <w:r>
        <w:t>Príloha</w:t>
      </w:r>
      <w:r>
        <w:rPr>
          <w:spacing w:val="-4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p.</w:t>
      </w:r>
      <w:r>
        <w:rPr>
          <w:spacing w:val="-2"/>
        </w:rPr>
        <w:t xml:space="preserve"> </w:t>
      </w:r>
      <w:r>
        <w:t>ORHZ-DS1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2026/001167-</w:t>
      </w:r>
      <w:r>
        <w:rPr>
          <w:spacing w:val="-5"/>
        </w:rPr>
        <w:t>001</w:t>
      </w:r>
    </w:p>
    <w:p w:rsidR="009E1E90" w:rsidRDefault="009E1E90">
      <w:pPr>
        <w:pStyle w:val="Zkladntext"/>
        <w:spacing w:before="252"/>
        <w:rPr>
          <w:sz w:val="22"/>
        </w:rPr>
      </w:pPr>
    </w:p>
    <w:p w:rsidR="009E1E90" w:rsidRDefault="004B337F">
      <w:pPr>
        <w:pStyle w:val="Nadpis1"/>
        <w:ind w:left="721"/>
      </w:pPr>
      <w:r>
        <w:t>Zabezpečenie</w:t>
      </w:r>
      <w:r>
        <w:rPr>
          <w:spacing w:val="-3"/>
        </w:rPr>
        <w:t xml:space="preserve"> </w:t>
      </w:r>
      <w:r>
        <w:t>ochrany</w:t>
      </w:r>
      <w:r>
        <w:rPr>
          <w:spacing w:val="2"/>
        </w:rPr>
        <w:t xml:space="preserve"> </w:t>
      </w:r>
      <w:r>
        <w:t>pred požiarmi</w:t>
      </w:r>
      <w:r>
        <w:rPr>
          <w:spacing w:val="-1"/>
        </w:rPr>
        <w:t xml:space="preserve"> </w:t>
      </w:r>
      <w:r>
        <w:t>v čase</w:t>
      </w:r>
      <w:r>
        <w:rPr>
          <w:spacing w:val="-3"/>
        </w:rPr>
        <w:t xml:space="preserve"> </w:t>
      </w:r>
      <w:r>
        <w:t xml:space="preserve">vykurovacieho </w:t>
      </w:r>
      <w:r>
        <w:rPr>
          <w:spacing w:val="-2"/>
        </w:rPr>
        <w:t>obdobia</w:t>
      </w:r>
    </w:p>
    <w:p w:rsidR="009E1E90" w:rsidRDefault="009E1E90">
      <w:pPr>
        <w:pStyle w:val="Zkladntext"/>
        <w:spacing w:before="82"/>
        <w:rPr>
          <w:b/>
        </w:rPr>
      </w:pPr>
    </w:p>
    <w:p w:rsidR="009E1E90" w:rsidRDefault="004B337F">
      <w:pPr>
        <w:pStyle w:val="Zkladntext"/>
        <w:spacing w:line="276" w:lineRule="auto"/>
        <w:ind w:left="1" w:right="134" w:firstLine="708"/>
        <w:jc w:val="both"/>
      </w:pPr>
      <w:r>
        <w:t>Z</w:t>
      </w:r>
      <w:r>
        <w:rPr>
          <w:spacing w:val="-2"/>
        </w:rPr>
        <w:t xml:space="preserve"> </w:t>
      </w:r>
      <w:r>
        <w:t>hľadiska ochrany pred požiarmi je zvlášť rizikovým obdobím čas vykurovacieho obdobia. V</w:t>
      </w:r>
      <w:r>
        <w:rPr>
          <w:spacing w:val="-2"/>
        </w:rPr>
        <w:t xml:space="preserve"> </w:t>
      </w:r>
      <w:r>
        <w:t>tomto období</w:t>
      </w:r>
      <w:r>
        <w:rPr>
          <w:spacing w:val="40"/>
        </w:rPr>
        <w:t xml:space="preserve"> </w:t>
      </w:r>
      <w:r>
        <w:t>dochádza</w:t>
      </w:r>
      <w:r>
        <w:rPr>
          <w:spacing w:val="40"/>
        </w:rPr>
        <w:t xml:space="preserve"> </w:t>
      </w:r>
      <w:r>
        <w:t>k</w:t>
      </w:r>
      <w:r>
        <w:rPr>
          <w:spacing w:val="40"/>
        </w:rPr>
        <w:t xml:space="preserve"> </w:t>
      </w:r>
      <w:r>
        <w:t>častým</w:t>
      </w:r>
      <w:r>
        <w:rPr>
          <w:spacing w:val="40"/>
        </w:rPr>
        <w:t xml:space="preserve"> </w:t>
      </w:r>
      <w:r>
        <w:t>vznikom</w:t>
      </w:r>
      <w:r>
        <w:rPr>
          <w:spacing w:val="40"/>
        </w:rPr>
        <w:t xml:space="preserve"> </w:t>
      </w:r>
      <w:r>
        <w:t>požiarov s vysokými škodami na majetkoch a v mnohých</w:t>
      </w:r>
      <w:r>
        <w:rPr>
          <w:spacing w:val="40"/>
        </w:rPr>
        <w:t xml:space="preserve"> </w:t>
      </w:r>
      <w:r>
        <w:t>prípadoch dochádza</w:t>
      </w:r>
      <w:r>
        <w:rPr>
          <w:spacing w:val="40"/>
        </w:rPr>
        <w:t xml:space="preserve"> </w:t>
      </w:r>
      <w:r>
        <w:t>aj</w:t>
      </w:r>
      <w:r>
        <w:rPr>
          <w:spacing w:val="40"/>
        </w:rPr>
        <w:t xml:space="preserve"> </w:t>
      </w:r>
      <w:r>
        <w:t>k</w:t>
      </w:r>
      <w:r>
        <w:rPr>
          <w:spacing w:val="40"/>
        </w:rPr>
        <w:t xml:space="preserve"> </w:t>
      </w:r>
      <w:r>
        <w:t>zraneniam</w:t>
      </w:r>
      <w:r>
        <w:rPr>
          <w:spacing w:val="40"/>
        </w:rPr>
        <w:t xml:space="preserve"> </w:t>
      </w:r>
      <w:r>
        <w:t>či</w:t>
      </w:r>
      <w:r>
        <w:rPr>
          <w:spacing w:val="40"/>
        </w:rPr>
        <w:t xml:space="preserve"> </w:t>
      </w:r>
      <w:r>
        <w:t>úmrtiam osôb.</w:t>
      </w:r>
    </w:p>
    <w:p w:rsidR="009E1E90" w:rsidRDefault="004B337F">
      <w:pPr>
        <w:pStyle w:val="Zkladntext"/>
        <w:spacing w:before="1" w:line="276" w:lineRule="auto"/>
        <w:ind w:left="1" w:right="137" w:firstLine="720"/>
        <w:jc w:val="both"/>
      </w:pPr>
      <w:r>
        <w:t>Nesprávnou obsluhou, nedostatočnou prípravou a kontrolou vykurovacích zariadení zvyšujeme riziko porúch, požiarov a</w:t>
      </w:r>
      <w:r>
        <w:rPr>
          <w:spacing w:val="-5"/>
        </w:rPr>
        <w:t xml:space="preserve"> </w:t>
      </w:r>
      <w:r>
        <w:t xml:space="preserve">výbuchov. Už dlhoročne najčastejšou </w:t>
      </w:r>
      <w:r>
        <w:t>príčinou vzniku požiarov</w:t>
      </w:r>
      <w:r>
        <w:rPr>
          <w:spacing w:val="26"/>
        </w:rPr>
        <w:t xml:space="preserve"> </w:t>
      </w:r>
      <w:r>
        <w:t>sú</w:t>
      </w:r>
      <w:r>
        <w:rPr>
          <w:spacing w:val="29"/>
        </w:rPr>
        <w:t xml:space="preserve"> </w:t>
      </w:r>
      <w:r>
        <w:t>poruchy</w:t>
      </w:r>
      <w:r>
        <w:rPr>
          <w:spacing w:val="26"/>
        </w:rPr>
        <w:t xml:space="preserve"> </w:t>
      </w:r>
      <w:r>
        <w:t>vykurovacích</w:t>
      </w:r>
      <w:r>
        <w:rPr>
          <w:spacing w:val="26"/>
        </w:rPr>
        <w:t xml:space="preserve"> </w:t>
      </w:r>
      <w:r>
        <w:t>telies,</w:t>
      </w:r>
      <w:r>
        <w:rPr>
          <w:spacing w:val="26"/>
        </w:rPr>
        <w:t xml:space="preserve"> </w:t>
      </w:r>
      <w:r>
        <w:t>poruchy</w:t>
      </w:r>
      <w:r>
        <w:rPr>
          <w:spacing w:val="26"/>
        </w:rPr>
        <w:t xml:space="preserve"> </w:t>
      </w:r>
      <w:r>
        <w:t>na</w:t>
      </w:r>
      <w:r>
        <w:rPr>
          <w:spacing w:val="26"/>
        </w:rPr>
        <w:t xml:space="preserve"> </w:t>
      </w:r>
      <w:r>
        <w:t>dymovodoch,</w:t>
      </w:r>
      <w:r>
        <w:rPr>
          <w:spacing w:val="-2"/>
        </w:rPr>
        <w:t xml:space="preserve"> </w:t>
      </w:r>
      <w:r>
        <w:t>na</w:t>
      </w:r>
      <w:r>
        <w:rPr>
          <w:spacing w:val="24"/>
        </w:rPr>
        <w:t xml:space="preserve"> </w:t>
      </w:r>
      <w:r>
        <w:t>komínoch</w:t>
      </w:r>
      <w:r>
        <w:rPr>
          <w:spacing w:val="2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úlety</w:t>
      </w:r>
      <w:r>
        <w:rPr>
          <w:spacing w:val="26"/>
        </w:rPr>
        <w:t xml:space="preserve"> </w:t>
      </w:r>
      <w:r>
        <w:t>iskier z</w:t>
      </w:r>
      <w:r>
        <w:rPr>
          <w:spacing w:val="-2"/>
        </w:rPr>
        <w:t xml:space="preserve"> </w:t>
      </w:r>
      <w:r>
        <w:t>komínov. Z</w:t>
      </w:r>
      <w:r>
        <w:rPr>
          <w:spacing w:val="-2"/>
        </w:rPr>
        <w:t xml:space="preserve"> </w:t>
      </w:r>
      <w:r>
        <w:t>poznatkov vyplývajúcich zo zisťovaní príčin vzniku požiarov tieto zapríčiňujú najmä nedodržanie základných preventívnych opatrení.</w:t>
      </w:r>
    </w:p>
    <w:p w:rsidR="009E1E90" w:rsidRDefault="009E1E90">
      <w:pPr>
        <w:pStyle w:val="Zkladntext"/>
        <w:spacing w:before="42"/>
      </w:pPr>
    </w:p>
    <w:p w:rsidR="009E1E90" w:rsidRDefault="004B337F">
      <w:pPr>
        <w:pStyle w:val="Zkladntext"/>
        <w:spacing w:before="1" w:line="276" w:lineRule="auto"/>
        <w:ind w:left="1"/>
      </w:pPr>
      <w:r>
        <w:t>Na</w:t>
      </w:r>
      <w:r>
        <w:rPr>
          <w:spacing w:val="37"/>
        </w:rPr>
        <w:t xml:space="preserve"> </w:t>
      </w:r>
      <w:r>
        <w:t>zníženie</w:t>
      </w:r>
      <w:r>
        <w:rPr>
          <w:spacing w:val="40"/>
        </w:rPr>
        <w:t xml:space="preserve"> </w:t>
      </w:r>
      <w:r>
        <w:t>rizík</w:t>
      </w:r>
      <w:r>
        <w:rPr>
          <w:spacing w:val="40"/>
        </w:rPr>
        <w:t xml:space="preserve"> </w:t>
      </w:r>
      <w:r>
        <w:t>spôsobujúcich</w:t>
      </w:r>
      <w:r>
        <w:rPr>
          <w:spacing w:val="40"/>
        </w:rPr>
        <w:t xml:space="preserve"> </w:t>
      </w:r>
      <w:r>
        <w:t>vznik</w:t>
      </w:r>
      <w:r>
        <w:rPr>
          <w:spacing w:val="40"/>
        </w:rPr>
        <w:t xml:space="preserve"> </w:t>
      </w:r>
      <w:r>
        <w:t>požiarov</w:t>
      </w:r>
      <w:r>
        <w:rPr>
          <w:spacing w:val="4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tým</w:t>
      </w:r>
      <w:r>
        <w:rPr>
          <w:spacing w:val="40"/>
        </w:rPr>
        <w:t xml:space="preserve"> </w:t>
      </w:r>
      <w:r>
        <w:t>uchránenia</w:t>
      </w:r>
      <w:r>
        <w:rPr>
          <w:spacing w:val="37"/>
        </w:rPr>
        <w:t xml:space="preserve"> </w:t>
      </w:r>
      <w:r>
        <w:t>vlastného</w:t>
      </w:r>
      <w:r>
        <w:rPr>
          <w:spacing w:val="40"/>
        </w:rPr>
        <w:t xml:space="preserve"> </w:t>
      </w:r>
      <w:r>
        <w:t>majetku,</w:t>
      </w:r>
      <w:r>
        <w:rPr>
          <w:spacing w:val="40"/>
        </w:rPr>
        <w:t xml:space="preserve"> </w:t>
      </w:r>
      <w:r>
        <w:t>zdravia prípadne života odporúčame najmä:</w:t>
      </w:r>
    </w:p>
    <w:p w:rsidR="009E1E90" w:rsidRDefault="009E1E90">
      <w:pPr>
        <w:pStyle w:val="Zkladntext"/>
        <w:spacing w:before="159"/>
      </w:pPr>
    </w:p>
    <w:p w:rsidR="009E1E90" w:rsidRDefault="004B337F">
      <w:pPr>
        <w:pStyle w:val="Odsekzoznamu"/>
        <w:numPr>
          <w:ilvl w:val="0"/>
          <w:numId w:val="1"/>
        </w:numPr>
        <w:tabs>
          <w:tab w:val="left" w:pos="721"/>
        </w:tabs>
        <w:spacing w:before="0" w:line="278" w:lineRule="auto"/>
        <w:ind w:right="137"/>
        <w:jc w:val="both"/>
        <w:rPr>
          <w:sz w:val="24"/>
        </w:rPr>
      </w:pPr>
      <w:r>
        <w:rPr>
          <w:sz w:val="24"/>
        </w:rPr>
        <w:t>dať preveriť technický stav vykurovacích zariadení odborníkmi a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zistené nedostatky včas </w:t>
      </w:r>
      <w:r>
        <w:rPr>
          <w:spacing w:val="-2"/>
          <w:sz w:val="24"/>
        </w:rPr>
        <w:t>odstrániť,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1"/>
        </w:tabs>
        <w:spacing w:before="116" w:line="276" w:lineRule="auto"/>
        <w:ind w:right="136"/>
        <w:jc w:val="both"/>
        <w:rPr>
          <w:sz w:val="24"/>
        </w:rPr>
      </w:pPr>
      <w:r>
        <w:rPr>
          <w:sz w:val="24"/>
        </w:rPr>
        <w:t>zabezpečiť odborné preskúšanie kom</w:t>
      </w:r>
      <w:r>
        <w:rPr>
          <w:sz w:val="24"/>
        </w:rPr>
        <w:t>ínov osobami s</w:t>
      </w:r>
      <w:r>
        <w:rPr>
          <w:spacing w:val="-2"/>
          <w:sz w:val="24"/>
        </w:rPr>
        <w:t xml:space="preserve"> </w:t>
      </w:r>
      <w:r>
        <w:rPr>
          <w:sz w:val="24"/>
        </w:rPr>
        <w:t>odbornou spôsobilosťou pred pripojením palivového spotrebiča na komín,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1"/>
        </w:tabs>
        <w:spacing w:line="276" w:lineRule="auto"/>
        <w:ind w:right="138"/>
        <w:jc w:val="both"/>
        <w:rPr>
          <w:sz w:val="24"/>
        </w:rPr>
      </w:pPr>
      <w:r>
        <w:rPr>
          <w:sz w:val="24"/>
        </w:rPr>
        <w:t>pravidelne dať preveriť stav dymovodov,</w:t>
      </w:r>
      <w:r>
        <w:rPr>
          <w:spacing w:val="-2"/>
          <w:sz w:val="24"/>
        </w:rPr>
        <w:t xml:space="preserve"> </w:t>
      </w:r>
      <w:r>
        <w:rPr>
          <w:sz w:val="24"/>
        </w:rPr>
        <w:t>komínov a zabezpečiť ich čistenie a</w:t>
      </w:r>
      <w:r>
        <w:rPr>
          <w:spacing w:val="-5"/>
          <w:sz w:val="24"/>
        </w:rPr>
        <w:t xml:space="preserve"> </w:t>
      </w:r>
      <w:r>
        <w:rPr>
          <w:sz w:val="24"/>
        </w:rPr>
        <w:t>kontrolu odborníkom (kominárom alebo osobou s</w:t>
      </w:r>
      <w:r>
        <w:rPr>
          <w:spacing w:val="-2"/>
          <w:sz w:val="24"/>
        </w:rPr>
        <w:t xml:space="preserve"> </w:t>
      </w:r>
      <w:r>
        <w:rPr>
          <w:sz w:val="24"/>
        </w:rPr>
        <w:t>odbornou spôsobilosťou), ktorý zároveň vydá aj p</w:t>
      </w:r>
      <w:r>
        <w:rPr>
          <w:sz w:val="24"/>
        </w:rPr>
        <w:t>otvrdenie o technickom stave týchto zariadení,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1"/>
        </w:tabs>
        <w:spacing w:before="121" w:line="276" w:lineRule="auto"/>
        <w:ind w:right="138"/>
        <w:jc w:val="both"/>
        <w:rPr>
          <w:sz w:val="24"/>
        </w:rPr>
      </w:pPr>
      <w:r>
        <w:rPr>
          <w:sz w:val="24"/>
        </w:rPr>
        <w:t>uchovávať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predkladať</w:t>
      </w:r>
      <w:r>
        <w:rPr>
          <w:spacing w:val="80"/>
          <w:sz w:val="24"/>
        </w:rPr>
        <w:t xml:space="preserve"> </w:t>
      </w:r>
      <w:r>
        <w:rPr>
          <w:sz w:val="24"/>
        </w:rPr>
        <w:t>kontrolným</w:t>
      </w:r>
      <w:r>
        <w:rPr>
          <w:spacing w:val="80"/>
          <w:sz w:val="24"/>
        </w:rPr>
        <w:t xml:space="preserve"> </w:t>
      </w:r>
      <w:r>
        <w:rPr>
          <w:sz w:val="24"/>
        </w:rPr>
        <w:t>skupinám</w:t>
      </w:r>
      <w:r>
        <w:rPr>
          <w:spacing w:val="80"/>
          <w:sz w:val="24"/>
        </w:rPr>
        <w:t xml:space="preserve"> </w:t>
      </w:r>
      <w:r>
        <w:rPr>
          <w:sz w:val="24"/>
        </w:rPr>
        <w:t>obce</w:t>
      </w:r>
      <w:r>
        <w:rPr>
          <w:spacing w:val="80"/>
          <w:sz w:val="24"/>
        </w:rPr>
        <w:t xml:space="preserve"> </w:t>
      </w:r>
      <w:r>
        <w:rPr>
          <w:sz w:val="24"/>
        </w:rPr>
        <w:t>potvrdenie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vykonaní</w:t>
      </w:r>
      <w:r>
        <w:rPr>
          <w:spacing w:val="80"/>
          <w:sz w:val="24"/>
        </w:rPr>
        <w:t xml:space="preserve"> </w:t>
      </w:r>
      <w:r>
        <w:rPr>
          <w:sz w:val="24"/>
        </w:rPr>
        <w:t>čistenia a kontroly komína,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0"/>
        </w:tabs>
        <w:spacing w:before="118"/>
        <w:ind w:left="720" w:hanging="359"/>
        <w:jc w:val="both"/>
        <w:rPr>
          <w:sz w:val="24"/>
        </w:rPr>
      </w:pPr>
      <w:r>
        <w:rPr>
          <w:sz w:val="24"/>
        </w:rPr>
        <w:t>prevádzkovať</w:t>
      </w:r>
      <w:r>
        <w:rPr>
          <w:spacing w:val="-3"/>
          <w:sz w:val="24"/>
        </w:rPr>
        <w:t xml:space="preserve"> </w:t>
      </w:r>
      <w:r>
        <w:rPr>
          <w:sz w:val="24"/>
        </w:rPr>
        <w:t>vykurovacie</w:t>
      </w:r>
      <w:r>
        <w:rPr>
          <w:spacing w:val="-1"/>
          <w:sz w:val="24"/>
        </w:rPr>
        <w:t xml:space="preserve"> </w:t>
      </w:r>
      <w:r>
        <w:rPr>
          <w:sz w:val="24"/>
        </w:rPr>
        <w:t>zariadenie len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podľa návodu </w:t>
      </w:r>
      <w:r>
        <w:rPr>
          <w:spacing w:val="-2"/>
          <w:sz w:val="24"/>
        </w:rPr>
        <w:t>výrobcu,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1"/>
        </w:tabs>
        <w:spacing w:before="164" w:line="276" w:lineRule="auto"/>
        <w:ind w:right="136"/>
        <w:rPr>
          <w:sz w:val="24"/>
        </w:rPr>
      </w:pPr>
      <w:r>
        <w:rPr>
          <w:sz w:val="24"/>
        </w:rPr>
        <w:t>nepreťažovať</w:t>
      </w:r>
      <w:r>
        <w:rPr>
          <w:spacing w:val="80"/>
          <w:sz w:val="24"/>
        </w:rPr>
        <w:t xml:space="preserve"> </w:t>
      </w:r>
      <w:r>
        <w:rPr>
          <w:sz w:val="24"/>
        </w:rPr>
        <w:t>vykurovacie</w:t>
      </w:r>
      <w:r>
        <w:rPr>
          <w:spacing w:val="80"/>
          <w:sz w:val="24"/>
        </w:rPr>
        <w:t xml:space="preserve"> </w:t>
      </w:r>
      <w:r>
        <w:rPr>
          <w:sz w:val="24"/>
        </w:rPr>
        <w:t>telesá,</w:t>
      </w:r>
      <w:r>
        <w:rPr>
          <w:spacing w:val="80"/>
          <w:sz w:val="24"/>
        </w:rPr>
        <w:t xml:space="preserve"> </w:t>
      </w:r>
      <w:r>
        <w:rPr>
          <w:sz w:val="24"/>
        </w:rPr>
        <w:t>nepoužívať</w:t>
      </w:r>
      <w:r>
        <w:rPr>
          <w:spacing w:val="80"/>
          <w:sz w:val="24"/>
        </w:rPr>
        <w:t xml:space="preserve"> </w:t>
      </w:r>
      <w:r>
        <w:rPr>
          <w:sz w:val="24"/>
        </w:rPr>
        <w:t>provizórne,</w:t>
      </w:r>
      <w:r>
        <w:rPr>
          <w:spacing w:val="80"/>
          <w:sz w:val="24"/>
        </w:rPr>
        <w:t xml:space="preserve"> </w:t>
      </w:r>
      <w:r>
        <w:rPr>
          <w:sz w:val="24"/>
        </w:rPr>
        <w:t>najmä</w:t>
      </w:r>
      <w:r>
        <w:rPr>
          <w:spacing w:val="80"/>
          <w:sz w:val="24"/>
        </w:rPr>
        <w:t xml:space="preserve"> </w:t>
      </w:r>
      <w:r>
        <w:rPr>
          <w:sz w:val="24"/>
        </w:rPr>
        <w:t>laicky</w:t>
      </w:r>
      <w:r>
        <w:rPr>
          <w:spacing w:val="80"/>
          <w:sz w:val="24"/>
        </w:rPr>
        <w:t xml:space="preserve"> </w:t>
      </w:r>
      <w:r>
        <w:rPr>
          <w:sz w:val="24"/>
        </w:rPr>
        <w:t>vyhotovené technické zariadenia súvisiace s vykurovaním,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1"/>
        </w:tabs>
        <w:spacing w:before="118" w:line="276" w:lineRule="auto"/>
        <w:ind w:right="137"/>
        <w:rPr>
          <w:sz w:val="24"/>
        </w:rPr>
      </w:pPr>
      <w:r>
        <w:rPr>
          <w:sz w:val="24"/>
        </w:rPr>
        <w:t>do</w:t>
      </w:r>
      <w:r>
        <w:rPr>
          <w:spacing w:val="34"/>
          <w:sz w:val="24"/>
        </w:rPr>
        <w:t xml:space="preserve"> </w:t>
      </w:r>
      <w:r>
        <w:rPr>
          <w:sz w:val="24"/>
        </w:rPr>
        <w:t>kotolní</w:t>
      </w:r>
      <w:r>
        <w:rPr>
          <w:spacing w:val="32"/>
          <w:sz w:val="24"/>
        </w:rPr>
        <w:t xml:space="preserve"> </w:t>
      </w:r>
      <w:r>
        <w:rPr>
          <w:sz w:val="24"/>
        </w:rPr>
        <w:t>alebo</w:t>
      </w:r>
      <w:r>
        <w:rPr>
          <w:spacing w:val="34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blízkosti</w:t>
      </w:r>
      <w:r>
        <w:rPr>
          <w:spacing w:val="80"/>
          <w:sz w:val="24"/>
        </w:rPr>
        <w:t xml:space="preserve"> </w:t>
      </w:r>
      <w:r>
        <w:rPr>
          <w:sz w:val="24"/>
        </w:rPr>
        <w:t>vykurovacích</w:t>
      </w:r>
      <w:r>
        <w:rPr>
          <w:spacing w:val="34"/>
          <w:sz w:val="24"/>
        </w:rPr>
        <w:t xml:space="preserve"> </w:t>
      </w:r>
      <w:r>
        <w:rPr>
          <w:sz w:val="24"/>
        </w:rPr>
        <w:t>zariadení</w:t>
      </w:r>
      <w:r>
        <w:rPr>
          <w:spacing w:val="34"/>
          <w:sz w:val="24"/>
        </w:rPr>
        <w:t xml:space="preserve"> </w:t>
      </w:r>
      <w:r>
        <w:rPr>
          <w:sz w:val="24"/>
        </w:rPr>
        <w:t>doporučujeme</w:t>
      </w:r>
      <w:r>
        <w:rPr>
          <w:spacing w:val="34"/>
          <w:sz w:val="24"/>
        </w:rPr>
        <w:t xml:space="preserve"> </w:t>
      </w:r>
      <w:r>
        <w:rPr>
          <w:sz w:val="24"/>
        </w:rPr>
        <w:t>inštalovať</w:t>
      </w:r>
      <w:r>
        <w:rPr>
          <w:spacing w:val="32"/>
          <w:sz w:val="24"/>
        </w:rPr>
        <w:t xml:space="preserve"> </w:t>
      </w:r>
      <w:r>
        <w:rPr>
          <w:sz w:val="24"/>
        </w:rPr>
        <w:t>detektor úniku plynu resp. detektor oxidu uhoľnatého,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0"/>
        </w:tabs>
        <w:spacing w:before="122"/>
        <w:ind w:left="720" w:hanging="359"/>
        <w:rPr>
          <w:sz w:val="24"/>
        </w:rPr>
      </w:pP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blízkosti</w:t>
      </w:r>
      <w:r>
        <w:rPr>
          <w:spacing w:val="1"/>
          <w:sz w:val="24"/>
        </w:rPr>
        <w:t xml:space="preserve"> </w:t>
      </w:r>
      <w:r>
        <w:rPr>
          <w:sz w:val="24"/>
        </w:rPr>
        <w:t>vykurovacích</w:t>
      </w:r>
      <w:r>
        <w:rPr>
          <w:spacing w:val="1"/>
          <w:sz w:val="24"/>
        </w:rPr>
        <w:t xml:space="preserve"> </w:t>
      </w:r>
      <w:r>
        <w:rPr>
          <w:sz w:val="24"/>
        </w:rPr>
        <w:t>telies</w:t>
      </w:r>
      <w:r>
        <w:rPr>
          <w:spacing w:val="-1"/>
          <w:sz w:val="24"/>
        </w:rPr>
        <w:t xml:space="preserve"> </w:t>
      </w:r>
      <w:r>
        <w:rPr>
          <w:sz w:val="24"/>
        </w:rPr>
        <w:t>udržiavať</w:t>
      </w:r>
      <w:r>
        <w:rPr>
          <w:spacing w:val="-1"/>
          <w:sz w:val="24"/>
        </w:rPr>
        <w:t xml:space="preserve"> </w:t>
      </w:r>
      <w:r>
        <w:rPr>
          <w:sz w:val="24"/>
        </w:rPr>
        <w:t>či</w:t>
      </w:r>
      <w:r>
        <w:rPr>
          <w:sz w:val="24"/>
        </w:rPr>
        <w:t>stotu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pravidelne</w:t>
      </w:r>
      <w:r>
        <w:rPr>
          <w:spacing w:val="-1"/>
          <w:sz w:val="24"/>
        </w:rPr>
        <w:t xml:space="preserve"> </w:t>
      </w:r>
      <w:r>
        <w:rPr>
          <w:sz w:val="24"/>
        </w:rPr>
        <w:t>odstraňovať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horľavé </w:t>
      </w:r>
      <w:r>
        <w:rPr>
          <w:spacing w:val="-2"/>
          <w:sz w:val="24"/>
        </w:rPr>
        <w:t>látky,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1"/>
        </w:tabs>
        <w:spacing w:before="161" w:line="276" w:lineRule="auto"/>
        <w:ind w:right="138"/>
        <w:rPr>
          <w:sz w:val="24"/>
        </w:rPr>
      </w:pPr>
      <w:r>
        <w:rPr>
          <w:sz w:val="24"/>
        </w:rPr>
        <w:t>nenechať</w:t>
      </w:r>
      <w:r>
        <w:rPr>
          <w:spacing w:val="80"/>
          <w:sz w:val="24"/>
        </w:rPr>
        <w:t xml:space="preserve"> </w:t>
      </w:r>
      <w:r>
        <w:rPr>
          <w:sz w:val="24"/>
        </w:rPr>
        <w:t>vykurovacie</w:t>
      </w:r>
      <w:r>
        <w:rPr>
          <w:spacing w:val="80"/>
          <w:sz w:val="24"/>
        </w:rPr>
        <w:t xml:space="preserve"> </w:t>
      </w:r>
      <w:r>
        <w:rPr>
          <w:sz w:val="24"/>
        </w:rPr>
        <w:t>telesá</w:t>
      </w:r>
      <w:r>
        <w:rPr>
          <w:spacing w:val="80"/>
          <w:sz w:val="24"/>
        </w:rPr>
        <w:t xml:space="preserve"> </w:t>
      </w:r>
      <w:r>
        <w:rPr>
          <w:sz w:val="24"/>
        </w:rPr>
        <w:t>počas</w:t>
      </w:r>
      <w:r>
        <w:rPr>
          <w:spacing w:val="80"/>
          <w:sz w:val="24"/>
        </w:rPr>
        <w:t xml:space="preserve"> </w:t>
      </w:r>
      <w:r>
        <w:rPr>
          <w:sz w:val="24"/>
        </w:rPr>
        <w:t>prevádzky</w:t>
      </w:r>
      <w:r>
        <w:rPr>
          <w:spacing w:val="80"/>
          <w:sz w:val="24"/>
        </w:rPr>
        <w:t xml:space="preserve"> </w:t>
      </w:r>
      <w:r>
        <w:rPr>
          <w:sz w:val="24"/>
        </w:rPr>
        <w:t>bez</w:t>
      </w:r>
      <w:r>
        <w:rPr>
          <w:spacing w:val="80"/>
          <w:sz w:val="24"/>
        </w:rPr>
        <w:t xml:space="preserve"> </w:t>
      </w:r>
      <w:r>
        <w:rPr>
          <w:sz w:val="24"/>
        </w:rPr>
        <w:t>dozoru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nedovoliť</w:t>
      </w:r>
      <w:r>
        <w:rPr>
          <w:spacing w:val="80"/>
          <w:sz w:val="24"/>
        </w:rPr>
        <w:t xml:space="preserve"> </w:t>
      </w:r>
      <w:r>
        <w:rPr>
          <w:sz w:val="24"/>
        </w:rPr>
        <w:t>deťom,</w:t>
      </w:r>
      <w:r>
        <w:rPr>
          <w:spacing w:val="80"/>
          <w:sz w:val="24"/>
        </w:rPr>
        <w:t xml:space="preserve"> </w:t>
      </w:r>
      <w:r>
        <w:rPr>
          <w:sz w:val="24"/>
        </w:rPr>
        <w:t>aby obsluhovali tieto zariadenia, alebo do nich zasahovali,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0"/>
        </w:tabs>
        <w:spacing w:before="118"/>
        <w:ind w:left="720" w:hanging="359"/>
        <w:rPr>
          <w:sz w:val="24"/>
        </w:rPr>
      </w:pP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rozkurovanie používať vždy odporučené</w:t>
      </w:r>
      <w:r>
        <w:rPr>
          <w:spacing w:val="-3"/>
          <w:sz w:val="24"/>
        </w:rPr>
        <w:t xml:space="preserve"> </w:t>
      </w:r>
      <w:r>
        <w:rPr>
          <w:sz w:val="24"/>
        </w:rPr>
        <w:t>a povolené</w:t>
      </w:r>
      <w:r>
        <w:rPr>
          <w:spacing w:val="-3"/>
          <w:sz w:val="24"/>
        </w:rPr>
        <w:t xml:space="preserve"> </w:t>
      </w:r>
      <w:r>
        <w:rPr>
          <w:sz w:val="24"/>
        </w:rPr>
        <w:t>palivá, zariadenia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pomôcky,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1"/>
        </w:tabs>
        <w:spacing w:before="164" w:line="276" w:lineRule="auto"/>
        <w:ind w:right="138"/>
        <w:jc w:val="both"/>
        <w:rPr>
          <w:sz w:val="24"/>
        </w:rPr>
      </w:pPr>
      <w:r>
        <w:rPr>
          <w:sz w:val="24"/>
        </w:rPr>
        <w:t>dbať na to, aby vykurovacie</w:t>
      </w:r>
      <w:r>
        <w:rPr>
          <w:spacing w:val="-1"/>
          <w:sz w:val="24"/>
        </w:rPr>
        <w:t xml:space="preserve"> </w:t>
      </w:r>
      <w:r>
        <w:rPr>
          <w:sz w:val="24"/>
        </w:rPr>
        <w:t>zariadenia a</w:t>
      </w:r>
      <w:r>
        <w:rPr>
          <w:spacing w:val="-5"/>
          <w:sz w:val="24"/>
        </w:rPr>
        <w:t xml:space="preserve"> </w:t>
      </w:r>
      <w:r>
        <w:rPr>
          <w:sz w:val="24"/>
        </w:rPr>
        <w:t>šporáky boli dostatočne vzdialené od horľavých konštrukcií a</w:t>
      </w:r>
      <w:r>
        <w:rPr>
          <w:spacing w:val="-2"/>
          <w:sz w:val="24"/>
        </w:rPr>
        <w:t xml:space="preserve"> </w:t>
      </w:r>
      <w:r>
        <w:rPr>
          <w:sz w:val="24"/>
        </w:rPr>
        <w:t>aby tieto konštrukcie v</w:t>
      </w:r>
      <w:r>
        <w:rPr>
          <w:spacing w:val="-2"/>
          <w:sz w:val="24"/>
        </w:rPr>
        <w:t xml:space="preserve"> </w:t>
      </w:r>
      <w:r>
        <w:rPr>
          <w:sz w:val="24"/>
        </w:rPr>
        <w:t>blízkosti tepelných zdrojov boli chránené nehorľavými ochrannými podložkami,</w:t>
      </w: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spacing w:before="86"/>
        <w:rPr>
          <w:sz w:val="20"/>
        </w:rPr>
      </w:pPr>
    </w:p>
    <w:tbl>
      <w:tblPr>
        <w:tblStyle w:val="TableNormal"/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4131"/>
        <w:gridCol w:w="2412"/>
        <w:gridCol w:w="1489"/>
        <w:gridCol w:w="1184"/>
      </w:tblGrid>
      <w:tr w:rsidR="009E1E90">
        <w:trPr>
          <w:trHeight w:val="235"/>
        </w:trPr>
        <w:tc>
          <w:tcPr>
            <w:tcW w:w="4131" w:type="dxa"/>
            <w:tcBorders>
              <w:top w:val="single" w:sz="4" w:space="0" w:color="000000"/>
            </w:tcBorders>
          </w:tcPr>
          <w:p w:rsidR="009E1E90" w:rsidRDefault="004B337F">
            <w:pPr>
              <w:pStyle w:val="TableParagraph"/>
              <w:spacing w:before="33" w:line="183" w:lineRule="exact"/>
              <w:ind w:left="2764"/>
              <w:rPr>
                <w:sz w:val="16"/>
              </w:rPr>
            </w:pPr>
            <w:r>
              <w:rPr>
                <w:spacing w:val="-2"/>
                <w:sz w:val="16"/>
              </w:rPr>
              <w:t>Telefón</w:t>
            </w:r>
          </w:p>
        </w:tc>
        <w:tc>
          <w:tcPr>
            <w:tcW w:w="2412" w:type="dxa"/>
            <w:tcBorders>
              <w:top w:val="single" w:sz="4" w:space="0" w:color="000000"/>
            </w:tcBorders>
          </w:tcPr>
          <w:p w:rsidR="009E1E90" w:rsidRDefault="004B337F">
            <w:pPr>
              <w:pStyle w:val="TableParagraph"/>
              <w:spacing w:before="33" w:line="183" w:lineRule="exact"/>
              <w:rPr>
                <w:sz w:val="16"/>
              </w:rPr>
            </w:pPr>
            <w:r>
              <w:rPr>
                <w:sz w:val="16"/>
              </w:rPr>
              <w:t>E-</w:t>
            </w:r>
            <w:r>
              <w:rPr>
                <w:spacing w:val="-4"/>
                <w:sz w:val="16"/>
              </w:rPr>
              <w:t>mail</w:t>
            </w:r>
          </w:p>
        </w:tc>
        <w:tc>
          <w:tcPr>
            <w:tcW w:w="1489" w:type="dxa"/>
            <w:tcBorders>
              <w:top w:val="single" w:sz="4" w:space="0" w:color="000000"/>
            </w:tcBorders>
          </w:tcPr>
          <w:p w:rsidR="009E1E90" w:rsidRDefault="004B337F">
            <w:pPr>
              <w:pStyle w:val="TableParagraph"/>
              <w:spacing w:before="33" w:line="183" w:lineRule="exact"/>
              <w:ind w:left="189"/>
              <w:rPr>
                <w:sz w:val="16"/>
              </w:rPr>
            </w:pPr>
            <w:r>
              <w:rPr>
                <w:spacing w:val="-2"/>
                <w:sz w:val="16"/>
              </w:rPr>
              <w:t>Internet</w:t>
            </w:r>
          </w:p>
        </w:tc>
        <w:tc>
          <w:tcPr>
            <w:tcW w:w="1184" w:type="dxa"/>
            <w:tcBorders>
              <w:top w:val="single" w:sz="4" w:space="0" w:color="000000"/>
            </w:tcBorders>
          </w:tcPr>
          <w:p w:rsidR="009E1E90" w:rsidRDefault="004B337F">
            <w:pPr>
              <w:pStyle w:val="TableParagraph"/>
              <w:spacing w:before="33" w:line="183" w:lineRule="exact"/>
              <w:ind w:left="401"/>
              <w:rPr>
                <w:sz w:val="16"/>
              </w:rPr>
            </w:pPr>
            <w:r>
              <w:rPr>
                <w:spacing w:val="-5"/>
                <w:sz w:val="16"/>
              </w:rPr>
              <w:t>IČO</w:t>
            </w:r>
          </w:p>
        </w:tc>
      </w:tr>
      <w:tr w:rsidR="009E1E90">
        <w:trPr>
          <w:trHeight w:val="197"/>
        </w:trPr>
        <w:tc>
          <w:tcPr>
            <w:tcW w:w="4131" w:type="dxa"/>
          </w:tcPr>
          <w:p w:rsidR="009E1E90" w:rsidRDefault="004B337F">
            <w:pPr>
              <w:pStyle w:val="TableParagraph"/>
              <w:ind w:left="2764"/>
              <w:rPr>
                <w:sz w:val="16"/>
              </w:rPr>
            </w:pPr>
            <w:r>
              <w:rPr>
                <w:spacing w:val="-2"/>
                <w:sz w:val="16"/>
              </w:rPr>
              <w:t>+4219615746</w:t>
            </w:r>
          </w:p>
        </w:tc>
        <w:tc>
          <w:tcPr>
            <w:tcW w:w="2412" w:type="dxa"/>
          </w:tcPr>
          <w:p w:rsidR="009E1E90" w:rsidRDefault="004B337F">
            <w:pPr>
              <w:pStyle w:val="TableParagraph"/>
              <w:rPr>
                <w:sz w:val="16"/>
              </w:rPr>
            </w:pPr>
            <w:hyperlink r:id="rId7">
              <w:r>
                <w:rPr>
                  <w:spacing w:val="-2"/>
                  <w:sz w:val="16"/>
                </w:rPr>
                <w:t>karina.jakusova2@minv.sk</w:t>
              </w:r>
            </w:hyperlink>
          </w:p>
        </w:tc>
        <w:tc>
          <w:tcPr>
            <w:tcW w:w="1489" w:type="dxa"/>
          </w:tcPr>
          <w:p w:rsidR="009E1E90" w:rsidRDefault="004B337F">
            <w:pPr>
              <w:pStyle w:val="TableParagraph"/>
              <w:ind w:left="188"/>
              <w:rPr>
                <w:sz w:val="16"/>
              </w:rPr>
            </w:pPr>
            <w:hyperlink r:id="rId8">
              <w:r>
                <w:rPr>
                  <w:spacing w:val="-2"/>
                  <w:sz w:val="16"/>
                </w:rPr>
                <w:t>www.minv.sk</w:t>
              </w:r>
            </w:hyperlink>
          </w:p>
        </w:tc>
        <w:tc>
          <w:tcPr>
            <w:tcW w:w="1184" w:type="dxa"/>
          </w:tcPr>
          <w:p w:rsidR="009E1E90" w:rsidRDefault="004B337F">
            <w:pPr>
              <w:pStyle w:val="TableParagraph"/>
              <w:ind w:left="400"/>
              <w:rPr>
                <w:sz w:val="16"/>
              </w:rPr>
            </w:pPr>
            <w:r>
              <w:rPr>
                <w:spacing w:val="-2"/>
                <w:sz w:val="16"/>
              </w:rPr>
              <w:t>00151866</w:t>
            </w:r>
          </w:p>
        </w:tc>
      </w:tr>
    </w:tbl>
    <w:p w:rsidR="009E1E90" w:rsidRDefault="009E1E90">
      <w:pPr>
        <w:pStyle w:val="TableParagraph"/>
        <w:rPr>
          <w:sz w:val="16"/>
        </w:rPr>
        <w:sectPr w:rsidR="009E1E90">
          <w:footerReference w:type="default" r:id="rId9"/>
          <w:type w:val="continuous"/>
          <w:pgSz w:w="11910" w:h="16840"/>
          <w:pgMar w:top="1620" w:right="992" w:bottom="880" w:left="1417" w:header="0" w:footer="646" w:gutter="0"/>
          <w:pgNumType w:start="2"/>
          <w:cols w:space="708"/>
        </w:sectPr>
      </w:pPr>
    </w:p>
    <w:p w:rsidR="00636D03" w:rsidRDefault="00636D03" w:rsidP="00636D03">
      <w:pPr>
        <w:pStyle w:val="Odsekzoznamu"/>
        <w:tabs>
          <w:tab w:val="left" w:pos="721"/>
        </w:tabs>
        <w:spacing w:before="62" w:line="276" w:lineRule="auto"/>
        <w:ind w:right="141" w:firstLine="0"/>
        <w:rPr>
          <w:sz w:val="24"/>
        </w:rPr>
      </w:pPr>
    </w:p>
    <w:p w:rsidR="00636D03" w:rsidRDefault="00636D03" w:rsidP="00636D03">
      <w:pPr>
        <w:pStyle w:val="Odsekzoznamu"/>
        <w:tabs>
          <w:tab w:val="left" w:pos="721"/>
        </w:tabs>
        <w:spacing w:before="62" w:line="276" w:lineRule="auto"/>
        <w:ind w:right="141" w:firstLine="0"/>
        <w:rPr>
          <w:sz w:val="24"/>
        </w:rPr>
      </w:pPr>
    </w:p>
    <w:p w:rsidR="00636D03" w:rsidRDefault="00636D03" w:rsidP="00636D03">
      <w:pPr>
        <w:pStyle w:val="Odsekzoznamu"/>
        <w:tabs>
          <w:tab w:val="left" w:pos="721"/>
        </w:tabs>
        <w:spacing w:before="62" w:line="276" w:lineRule="auto"/>
        <w:ind w:right="141" w:firstLine="0"/>
        <w:rPr>
          <w:sz w:val="24"/>
        </w:rPr>
      </w:pPr>
    </w:p>
    <w:p w:rsidR="009E1E90" w:rsidRDefault="004B337F">
      <w:pPr>
        <w:pStyle w:val="Odsekzoznamu"/>
        <w:numPr>
          <w:ilvl w:val="0"/>
          <w:numId w:val="1"/>
        </w:numPr>
        <w:tabs>
          <w:tab w:val="left" w:pos="721"/>
        </w:tabs>
        <w:spacing w:before="62" w:line="276" w:lineRule="auto"/>
        <w:ind w:right="141"/>
        <w:rPr>
          <w:sz w:val="24"/>
        </w:rPr>
      </w:pPr>
      <w:r>
        <w:rPr>
          <w:sz w:val="24"/>
        </w:rPr>
        <w:t>popol</w:t>
      </w:r>
      <w:r>
        <w:rPr>
          <w:spacing w:val="-3"/>
          <w:sz w:val="24"/>
        </w:rPr>
        <w:t xml:space="preserve"> </w:t>
      </w:r>
      <w:r>
        <w:rPr>
          <w:sz w:val="24"/>
        </w:rPr>
        <w:t>skladovať</w:t>
      </w:r>
      <w:r>
        <w:rPr>
          <w:spacing w:val="-5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uzavretých</w:t>
      </w:r>
      <w:r>
        <w:rPr>
          <w:spacing w:val="-3"/>
          <w:sz w:val="24"/>
        </w:rPr>
        <w:t xml:space="preserve"> </w:t>
      </w:r>
      <w:r>
        <w:rPr>
          <w:sz w:val="24"/>
        </w:rPr>
        <w:t>nerozbitných</w:t>
      </w:r>
      <w:r>
        <w:rPr>
          <w:spacing w:val="-3"/>
          <w:sz w:val="24"/>
        </w:rPr>
        <w:t xml:space="preserve"> </w:t>
      </w:r>
      <w:r>
        <w:rPr>
          <w:sz w:val="24"/>
        </w:rPr>
        <w:t>nehorľavých</w:t>
      </w:r>
      <w:r>
        <w:rPr>
          <w:spacing w:val="-6"/>
          <w:sz w:val="24"/>
        </w:rPr>
        <w:t xml:space="preserve"> </w:t>
      </w:r>
      <w:r>
        <w:rPr>
          <w:sz w:val="24"/>
        </w:rPr>
        <w:t>nádobách</w:t>
      </w:r>
      <w:r>
        <w:rPr>
          <w:spacing w:val="-6"/>
          <w:sz w:val="24"/>
        </w:rPr>
        <w:t xml:space="preserve"> </w:t>
      </w:r>
      <w:r>
        <w:rPr>
          <w:sz w:val="24"/>
        </w:rPr>
        <w:t>oddelene</w:t>
      </w:r>
      <w:r>
        <w:rPr>
          <w:spacing w:val="-6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ostatného </w:t>
      </w:r>
      <w:r>
        <w:rPr>
          <w:spacing w:val="-2"/>
          <w:sz w:val="24"/>
        </w:rPr>
        <w:t>odpadu,</w:t>
      </w:r>
    </w:p>
    <w:p w:rsidR="009E1E90" w:rsidRDefault="004B337F">
      <w:pPr>
        <w:pStyle w:val="Odsekzoznamu"/>
        <w:numPr>
          <w:ilvl w:val="0"/>
          <w:numId w:val="1"/>
        </w:numPr>
        <w:tabs>
          <w:tab w:val="left" w:pos="721"/>
        </w:tabs>
        <w:spacing w:line="276" w:lineRule="auto"/>
        <w:ind w:right="138"/>
        <w:rPr>
          <w:sz w:val="24"/>
        </w:rPr>
      </w:pPr>
      <w:r>
        <w:rPr>
          <w:sz w:val="24"/>
        </w:rPr>
        <w:t>sklady palív udržiavať tak, aby jednotlivé druhy palív boli skladované oddelene, a</w:t>
      </w:r>
      <w:r>
        <w:rPr>
          <w:spacing w:val="-2"/>
          <w:sz w:val="24"/>
        </w:rPr>
        <w:t xml:space="preserve"> </w:t>
      </w:r>
      <w:r>
        <w:rPr>
          <w:sz w:val="24"/>
        </w:rPr>
        <w:t>pokiaľ možno bez organických prachov,</w:t>
      </w:r>
    </w:p>
    <w:p w:rsidR="009E1E90" w:rsidRDefault="009E1E90">
      <w:pPr>
        <w:pStyle w:val="Zkladntext"/>
        <w:spacing w:before="42"/>
      </w:pPr>
    </w:p>
    <w:p w:rsidR="009E1E90" w:rsidRDefault="004B337F">
      <w:pPr>
        <w:pStyle w:val="Zkladntext"/>
        <w:spacing w:line="276" w:lineRule="auto"/>
        <w:ind w:left="1" w:right="138" w:firstLine="720"/>
        <w:jc w:val="both"/>
      </w:pPr>
      <w:r>
        <w:t>Len dôsledným dodržaním týchto rád a</w:t>
      </w:r>
      <w:r>
        <w:rPr>
          <w:spacing w:val="-6"/>
        </w:rPr>
        <w:t xml:space="preserve"> </w:t>
      </w:r>
      <w:r>
        <w:t>iných súvisiacich opatrení môžete znížiť riziko vzniku požiarov,</w:t>
      </w:r>
      <w:r>
        <w:rPr>
          <w:spacing w:val="40"/>
        </w:rPr>
        <w:t xml:space="preserve"> </w:t>
      </w:r>
      <w:r>
        <w:t>mimoriadnych udalostí, zbytočných škôd a</w:t>
      </w:r>
      <w:r>
        <w:rPr>
          <w:spacing w:val="-3"/>
        </w:rPr>
        <w:t xml:space="preserve"> </w:t>
      </w:r>
      <w:r>
        <w:t>tragédií spôsobených používaním vykurovacích zariadení.</w:t>
      </w: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  <w:bookmarkStart w:id="0" w:name="_GoBack"/>
      <w:bookmarkEnd w:id="0"/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rPr>
          <w:sz w:val="20"/>
        </w:rPr>
      </w:pPr>
    </w:p>
    <w:p w:rsidR="009E1E90" w:rsidRDefault="009E1E90">
      <w:pPr>
        <w:pStyle w:val="Zkladntext"/>
        <w:spacing w:before="36"/>
        <w:rPr>
          <w:sz w:val="20"/>
        </w:rPr>
      </w:pPr>
    </w:p>
    <w:tbl>
      <w:tblPr>
        <w:tblStyle w:val="TableNormal"/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4131"/>
        <w:gridCol w:w="2412"/>
        <w:gridCol w:w="1489"/>
        <w:gridCol w:w="1184"/>
      </w:tblGrid>
      <w:tr w:rsidR="009E1E90">
        <w:trPr>
          <w:trHeight w:val="235"/>
        </w:trPr>
        <w:tc>
          <w:tcPr>
            <w:tcW w:w="4131" w:type="dxa"/>
            <w:tcBorders>
              <w:top w:val="single" w:sz="4" w:space="0" w:color="000000"/>
            </w:tcBorders>
          </w:tcPr>
          <w:p w:rsidR="009E1E90" w:rsidRDefault="004B337F">
            <w:pPr>
              <w:pStyle w:val="TableParagraph"/>
              <w:spacing w:before="33" w:line="183" w:lineRule="exact"/>
              <w:ind w:left="2764"/>
              <w:rPr>
                <w:sz w:val="16"/>
              </w:rPr>
            </w:pPr>
            <w:r>
              <w:rPr>
                <w:spacing w:val="-2"/>
                <w:sz w:val="16"/>
              </w:rPr>
              <w:t>Telefón</w:t>
            </w:r>
          </w:p>
        </w:tc>
        <w:tc>
          <w:tcPr>
            <w:tcW w:w="2412" w:type="dxa"/>
            <w:tcBorders>
              <w:top w:val="single" w:sz="4" w:space="0" w:color="000000"/>
            </w:tcBorders>
          </w:tcPr>
          <w:p w:rsidR="009E1E90" w:rsidRDefault="004B337F">
            <w:pPr>
              <w:pStyle w:val="TableParagraph"/>
              <w:spacing w:before="33" w:line="183" w:lineRule="exact"/>
              <w:rPr>
                <w:sz w:val="16"/>
              </w:rPr>
            </w:pPr>
            <w:r>
              <w:rPr>
                <w:sz w:val="16"/>
              </w:rPr>
              <w:t>E-</w:t>
            </w:r>
            <w:r>
              <w:rPr>
                <w:spacing w:val="-4"/>
                <w:sz w:val="16"/>
              </w:rPr>
              <w:t>mail</w:t>
            </w:r>
          </w:p>
        </w:tc>
        <w:tc>
          <w:tcPr>
            <w:tcW w:w="1489" w:type="dxa"/>
            <w:tcBorders>
              <w:top w:val="single" w:sz="4" w:space="0" w:color="000000"/>
            </w:tcBorders>
          </w:tcPr>
          <w:p w:rsidR="009E1E90" w:rsidRDefault="004B337F">
            <w:pPr>
              <w:pStyle w:val="TableParagraph"/>
              <w:spacing w:before="33" w:line="183" w:lineRule="exact"/>
              <w:ind w:left="189"/>
              <w:rPr>
                <w:sz w:val="16"/>
              </w:rPr>
            </w:pPr>
            <w:r>
              <w:rPr>
                <w:spacing w:val="-2"/>
                <w:sz w:val="16"/>
              </w:rPr>
              <w:t>Internet</w:t>
            </w:r>
          </w:p>
        </w:tc>
        <w:tc>
          <w:tcPr>
            <w:tcW w:w="1184" w:type="dxa"/>
            <w:tcBorders>
              <w:top w:val="single" w:sz="4" w:space="0" w:color="000000"/>
            </w:tcBorders>
          </w:tcPr>
          <w:p w:rsidR="009E1E90" w:rsidRDefault="004B337F">
            <w:pPr>
              <w:pStyle w:val="TableParagraph"/>
              <w:spacing w:before="33" w:line="183" w:lineRule="exact"/>
              <w:ind w:left="401"/>
              <w:rPr>
                <w:sz w:val="16"/>
              </w:rPr>
            </w:pPr>
            <w:r>
              <w:rPr>
                <w:spacing w:val="-5"/>
                <w:sz w:val="16"/>
              </w:rPr>
              <w:t>IČO</w:t>
            </w:r>
          </w:p>
        </w:tc>
      </w:tr>
      <w:tr w:rsidR="009E1E90">
        <w:trPr>
          <w:trHeight w:val="197"/>
        </w:trPr>
        <w:tc>
          <w:tcPr>
            <w:tcW w:w="4131" w:type="dxa"/>
          </w:tcPr>
          <w:p w:rsidR="009E1E90" w:rsidRDefault="004B337F">
            <w:pPr>
              <w:pStyle w:val="TableParagraph"/>
              <w:ind w:left="2764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spacing w:val="-2"/>
                <w:sz w:val="16"/>
              </w:rPr>
              <w:t>4</w:t>
            </w:r>
            <w:r>
              <w:rPr>
                <w:spacing w:val="-2"/>
                <w:sz w:val="16"/>
              </w:rPr>
              <w:t>2</w:t>
            </w:r>
            <w:r>
              <w:rPr>
                <w:spacing w:val="-2"/>
                <w:sz w:val="16"/>
              </w:rPr>
              <w:t>19615746</w:t>
            </w:r>
          </w:p>
        </w:tc>
        <w:tc>
          <w:tcPr>
            <w:tcW w:w="2412" w:type="dxa"/>
          </w:tcPr>
          <w:p w:rsidR="009E1E90" w:rsidRDefault="004B337F">
            <w:pPr>
              <w:pStyle w:val="TableParagraph"/>
              <w:rPr>
                <w:sz w:val="16"/>
              </w:rPr>
            </w:pPr>
            <w:hyperlink r:id="rId10">
              <w:r>
                <w:rPr>
                  <w:spacing w:val="-2"/>
                  <w:sz w:val="16"/>
                </w:rPr>
                <w:t>karina.jakusova2@minv.sk</w:t>
              </w:r>
            </w:hyperlink>
          </w:p>
        </w:tc>
        <w:tc>
          <w:tcPr>
            <w:tcW w:w="1489" w:type="dxa"/>
          </w:tcPr>
          <w:p w:rsidR="009E1E90" w:rsidRDefault="004B337F">
            <w:pPr>
              <w:pStyle w:val="TableParagraph"/>
              <w:ind w:left="188"/>
              <w:rPr>
                <w:sz w:val="16"/>
              </w:rPr>
            </w:pPr>
            <w:hyperlink r:id="rId11">
              <w:r>
                <w:rPr>
                  <w:spacing w:val="-2"/>
                  <w:sz w:val="16"/>
                </w:rPr>
                <w:t>www.minv.sk</w:t>
              </w:r>
            </w:hyperlink>
          </w:p>
        </w:tc>
        <w:tc>
          <w:tcPr>
            <w:tcW w:w="1184" w:type="dxa"/>
          </w:tcPr>
          <w:p w:rsidR="009E1E90" w:rsidRDefault="004B337F">
            <w:pPr>
              <w:pStyle w:val="TableParagraph"/>
              <w:ind w:left="400"/>
              <w:rPr>
                <w:sz w:val="16"/>
              </w:rPr>
            </w:pPr>
            <w:r>
              <w:rPr>
                <w:spacing w:val="-2"/>
                <w:sz w:val="16"/>
              </w:rPr>
              <w:t>00151866</w:t>
            </w:r>
          </w:p>
        </w:tc>
      </w:tr>
    </w:tbl>
    <w:p w:rsidR="009E1E90" w:rsidRDefault="009E1E90" w:rsidP="00636D03">
      <w:pPr>
        <w:pStyle w:val="Zkladntext"/>
        <w:spacing w:before="184"/>
        <w:rPr>
          <w:sz w:val="20"/>
        </w:rPr>
      </w:pPr>
    </w:p>
    <w:sectPr w:rsidR="009E1E90" w:rsidSect="00636D03">
      <w:pgSz w:w="11910" w:h="16840"/>
      <w:pgMar w:top="60" w:right="992" w:bottom="880" w:left="1417" w:header="0" w:footer="6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37F" w:rsidRDefault="004B337F">
      <w:r>
        <w:separator/>
      </w:r>
    </w:p>
  </w:endnote>
  <w:endnote w:type="continuationSeparator" w:id="0">
    <w:p w:rsidR="004B337F" w:rsidRDefault="004B3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E90" w:rsidRDefault="004B337F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7435264" behindDoc="1" locked="0" layoutInCell="1" allowOverlap="1">
              <wp:simplePos x="0" y="0"/>
              <wp:positionH relativeFrom="page">
                <wp:posOffset>3769359</wp:posOffset>
              </wp:positionH>
              <wp:positionV relativeFrom="page">
                <wp:posOffset>10112580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E1E90" w:rsidRDefault="004B337F">
                          <w:pPr>
                            <w:pStyle w:val="Zkladntext"/>
                            <w:spacing w:before="10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636D03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6.8pt;margin-top:796.25pt;width:21pt;height:15.3pt;z-index:-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" filled="f" stroked="f">
              <v:path arrowok="t"/>
              <v:textbox inset="0,0,0,0">
                <w:txbxContent>
                  <w:p w:rsidR="009E1E90" w:rsidRDefault="004B337F">
                    <w:pPr>
                      <w:pStyle w:val="Zkladntext"/>
                      <w:spacing w:before="10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636D03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37F" w:rsidRDefault="004B337F">
      <w:r>
        <w:separator/>
      </w:r>
    </w:p>
  </w:footnote>
  <w:footnote w:type="continuationSeparator" w:id="0">
    <w:p w:rsidR="004B337F" w:rsidRDefault="004B3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53E8E"/>
    <w:multiLevelType w:val="hybridMultilevel"/>
    <w:tmpl w:val="0FF6CC84"/>
    <w:lvl w:ilvl="0" w:tplc="5F269D80">
      <w:numFmt w:val="bullet"/>
      <w:lvlText w:val=""/>
      <w:lvlJc w:val="left"/>
      <w:pPr>
        <w:ind w:left="7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A8D46B6E">
      <w:numFmt w:val="bullet"/>
      <w:lvlText w:val="•"/>
      <w:lvlJc w:val="left"/>
      <w:pPr>
        <w:ind w:left="1597" w:hanging="360"/>
      </w:pPr>
      <w:rPr>
        <w:rFonts w:hint="default"/>
        <w:lang w:val="sk-SK" w:eastAsia="en-US" w:bidi="ar-SA"/>
      </w:rPr>
    </w:lvl>
    <w:lvl w:ilvl="2" w:tplc="F0A0C7AE">
      <w:numFmt w:val="bullet"/>
      <w:lvlText w:val="•"/>
      <w:lvlJc w:val="left"/>
      <w:pPr>
        <w:ind w:left="2475" w:hanging="360"/>
      </w:pPr>
      <w:rPr>
        <w:rFonts w:hint="default"/>
        <w:lang w:val="sk-SK" w:eastAsia="en-US" w:bidi="ar-SA"/>
      </w:rPr>
    </w:lvl>
    <w:lvl w:ilvl="3" w:tplc="008C64A4">
      <w:numFmt w:val="bullet"/>
      <w:lvlText w:val="•"/>
      <w:lvlJc w:val="left"/>
      <w:pPr>
        <w:ind w:left="3353" w:hanging="360"/>
      </w:pPr>
      <w:rPr>
        <w:rFonts w:hint="default"/>
        <w:lang w:val="sk-SK" w:eastAsia="en-US" w:bidi="ar-SA"/>
      </w:rPr>
    </w:lvl>
    <w:lvl w:ilvl="4" w:tplc="44E459B8">
      <w:numFmt w:val="bullet"/>
      <w:lvlText w:val="•"/>
      <w:lvlJc w:val="left"/>
      <w:pPr>
        <w:ind w:left="4230" w:hanging="360"/>
      </w:pPr>
      <w:rPr>
        <w:rFonts w:hint="default"/>
        <w:lang w:val="sk-SK" w:eastAsia="en-US" w:bidi="ar-SA"/>
      </w:rPr>
    </w:lvl>
    <w:lvl w:ilvl="5" w:tplc="726AB838">
      <w:numFmt w:val="bullet"/>
      <w:lvlText w:val="•"/>
      <w:lvlJc w:val="left"/>
      <w:pPr>
        <w:ind w:left="5108" w:hanging="360"/>
      </w:pPr>
      <w:rPr>
        <w:rFonts w:hint="default"/>
        <w:lang w:val="sk-SK" w:eastAsia="en-US" w:bidi="ar-SA"/>
      </w:rPr>
    </w:lvl>
    <w:lvl w:ilvl="6" w:tplc="E154F9E4">
      <w:numFmt w:val="bullet"/>
      <w:lvlText w:val="•"/>
      <w:lvlJc w:val="left"/>
      <w:pPr>
        <w:ind w:left="5986" w:hanging="360"/>
      </w:pPr>
      <w:rPr>
        <w:rFonts w:hint="default"/>
        <w:lang w:val="sk-SK" w:eastAsia="en-US" w:bidi="ar-SA"/>
      </w:rPr>
    </w:lvl>
    <w:lvl w:ilvl="7" w:tplc="388E21AC">
      <w:numFmt w:val="bullet"/>
      <w:lvlText w:val="•"/>
      <w:lvlJc w:val="left"/>
      <w:pPr>
        <w:ind w:left="6864" w:hanging="360"/>
      </w:pPr>
      <w:rPr>
        <w:rFonts w:hint="default"/>
        <w:lang w:val="sk-SK" w:eastAsia="en-US" w:bidi="ar-SA"/>
      </w:rPr>
    </w:lvl>
    <w:lvl w:ilvl="8" w:tplc="419EA3F0">
      <w:numFmt w:val="bullet"/>
      <w:lvlText w:val="•"/>
      <w:lvlJc w:val="left"/>
      <w:pPr>
        <w:ind w:left="7741" w:hanging="360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E1E90"/>
    <w:rsid w:val="004B337F"/>
    <w:rsid w:val="00636D03"/>
    <w:rsid w:val="009E1E90"/>
    <w:rsid w:val="00F3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4711B1"/>
  <w15:docId w15:val="{177F5B31-FC22-483D-853B-5116B7A4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1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spacing w:before="119"/>
      <w:ind w:left="721" w:hanging="360"/>
    </w:pPr>
  </w:style>
  <w:style w:type="paragraph" w:customStyle="1" w:styleId="TableParagraph">
    <w:name w:val="Table Paragraph"/>
    <w:basedOn w:val="Normlny"/>
    <w:uiPriority w:val="1"/>
    <w:qFormat/>
    <w:pPr>
      <w:spacing w:before="13" w:line="164" w:lineRule="exact"/>
      <w:ind w:left="475"/>
    </w:pPr>
  </w:style>
  <w:style w:type="paragraph" w:styleId="Hlavika">
    <w:name w:val="header"/>
    <w:basedOn w:val="Normlny"/>
    <w:link w:val="HlavikaChar"/>
    <w:uiPriority w:val="99"/>
    <w:unhideWhenUsed/>
    <w:rsid w:val="00636D0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36D03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636D0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36D03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v.sk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rina.jakusova2@minv.s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nv.sk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arina.jakusova2@minv.s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Vykurovanie 2026</vt:lpstr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Vykurovanie 2026</dc:title>
  <dc:creator>Laura Kósová</dc:creator>
  <cp:lastModifiedBy>User</cp:lastModifiedBy>
  <cp:revision>3</cp:revision>
  <dcterms:created xsi:type="dcterms:W3CDTF">2026-10-05T13:01:00Z</dcterms:created>
  <dcterms:modified xsi:type="dcterms:W3CDTF">2026-10-05T13:19:00Z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LastSaved">
    <vt:filetime>2026-10-05T00:00:00Z</vt:filetime>
  </property>
  <property fmtid="{D5CDD505-2E9C-101B-9397-08002B2CF9AE}" pid="5" name="Producer">
    <vt:lpwstr>Microsoft: Print To PDF</vt:lpwstr>
  </property>
</Properties>
</file>